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010F" w14:textId="77777777" w:rsidR="007D75CF" w:rsidRDefault="007D75CF" w:rsidP="007D75CF">
      <w:pPr>
        <w:rPr>
          <w:lang w:val="sl-SI"/>
        </w:rPr>
      </w:pPr>
    </w:p>
    <w:p w14:paraId="7504E370" w14:textId="77777777" w:rsidR="00BB3A07" w:rsidRDefault="00BB3A07" w:rsidP="007D75CF">
      <w:pPr>
        <w:rPr>
          <w:lang w:val="sl-SI"/>
        </w:rPr>
      </w:pPr>
    </w:p>
    <w:p w14:paraId="634BA5B1" w14:textId="5D12F1DF" w:rsidR="00C40DFC" w:rsidRPr="002112A3" w:rsidRDefault="00000000" w:rsidP="008446C0">
      <w:pPr>
        <w:pStyle w:val="ZADEVA"/>
        <w:rPr>
          <w:sz w:val="22"/>
          <w:szCs w:val="22"/>
          <w:lang w:val="sl-SI"/>
        </w:rPr>
      </w:pPr>
      <w:r w:rsidRPr="002112A3">
        <w:rPr>
          <w:sz w:val="22"/>
          <w:szCs w:val="22"/>
          <w:lang w:val="sl-SI"/>
        </w:rPr>
        <w:t xml:space="preserve">Zadeva: </w:t>
      </w:r>
      <w:bookmarkStart w:id="0" w:name="OpisDokumenta"/>
      <w:r w:rsidR="00C40DFC" w:rsidRPr="002112A3">
        <w:rPr>
          <w:sz w:val="22"/>
          <w:szCs w:val="22"/>
          <w:lang w:val="sl-SI"/>
        </w:rPr>
        <w:t xml:space="preserve"> </w:t>
      </w:r>
      <w:r w:rsidRPr="002112A3">
        <w:rPr>
          <w:sz w:val="22"/>
          <w:szCs w:val="22"/>
          <w:lang w:val="sl-SI"/>
        </w:rPr>
        <w:t xml:space="preserve">Sistem CATCH </w:t>
      </w:r>
      <w:r w:rsidR="00C40DFC" w:rsidRPr="002112A3">
        <w:rPr>
          <w:sz w:val="22"/>
          <w:szCs w:val="22"/>
          <w:lang w:val="sl-SI"/>
        </w:rPr>
        <w:t>–</w:t>
      </w:r>
      <w:r w:rsidRPr="002112A3">
        <w:rPr>
          <w:sz w:val="22"/>
          <w:szCs w:val="22"/>
          <w:lang w:val="sl-SI"/>
        </w:rPr>
        <w:t xml:space="preserve"> </w:t>
      </w:r>
      <w:r w:rsidR="00C40DFC" w:rsidRPr="002112A3">
        <w:rPr>
          <w:sz w:val="22"/>
          <w:szCs w:val="22"/>
          <w:lang w:val="sl-SI"/>
        </w:rPr>
        <w:t>obvestila Komisije</w:t>
      </w:r>
      <w:bookmarkEnd w:id="0"/>
    </w:p>
    <w:p w14:paraId="79F184D9" w14:textId="77777777" w:rsidR="00BB3A07" w:rsidRDefault="00BB3A07" w:rsidP="00BB3A07">
      <w:pPr>
        <w:spacing w:before="120" w:after="120"/>
        <w:jc w:val="both"/>
        <w:rPr>
          <w:rFonts w:eastAsia="Aptos" w:cs="Arial"/>
          <w:b/>
          <w:bCs/>
          <w:kern w:val="2"/>
          <w:szCs w:val="20"/>
          <w:u w:val="single"/>
          <w:lang w:val="sl-SI"/>
          <w14:ligatures w14:val="standardContextual"/>
        </w:rPr>
      </w:pPr>
    </w:p>
    <w:p w14:paraId="2E92B89B" w14:textId="4828A29E" w:rsidR="00BB3A07" w:rsidRDefault="00BB3A07" w:rsidP="00BB3A07">
      <w:pPr>
        <w:spacing w:before="120" w:after="120"/>
        <w:jc w:val="both"/>
        <w:rPr>
          <w:rFonts w:eastAsia="Aptos" w:cs="Arial"/>
          <w:b/>
          <w:bCs/>
          <w:kern w:val="2"/>
          <w:szCs w:val="20"/>
          <w:u w:val="single"/>
          <w:lang w:val="sl-SI"/>
          <w14:ligatures w14:val="standardContextual"/>
        </w:rPr>
      </w:pPr>
      <w:r w:rsidRPr="008446C0">
        <w:rPr>
          <w:rFonts w:eastAsia="Aptos" w:cs="Arial"/>
          <w:b/>
          <w:bCs/>
          <w:kern w:val="2"/>
          <w:szCs w:val="20"/>
          <w:u w:val="single"/>
          <w:lang w:val="sl-SI"/>
          <w14:ligatures w14:val="standardContextual"/>
        </w:rPr>
        <w:t xml:space="preserve">Obvestilo Komisije z dne </w:t>
      </w:r>
      <w:r>
        <w:rPr>
          <w:rFonts w:eastAsia="Aptos" w:cs="Arial"/>
          <w:b/>
          <w:bCs/>
          <w:kern w:val="2"/>
          <w:szCs w:val="20"/>
          <w:u w:val="single"/>
          <w:lang w:val="sl-SI"/>
          <w14:ligatures w14:val="standardContextual"/>
        </w:rPr>
        <w:t>5. 2. 2026</w:t>
      </w:r>
    </w:p>
    <w:p w14:paraId="5A3C76F9" w14:textId="5DA177BB" w:rsidR="00C87411" w:rsidRPr="00BB3A07" w:rsidRDefault="00BB3A07" w:rsidP="00484245">
      <w:pPr>
        <w:spacing w:before="120" w:after="120"/>
        <w:jc w:val="both"/>
        <w:rPr>
          <w:rFonts w:eastAsia="Aptos" w:cs="Arial"/>
          <w:b/>
          <w:bCs/>
          <w:kern w:val="2"/>
          <w:szCs w:val="20"/>
          <w:lang w:val="sl-SI"/>
          <w14:ligatures w14:val="standardContextual"/>
        </w:rPr>
      </w:pPr>
      <w:r w:rsidRPr="00BB3A07">
        <w:rPr>
          <w:rFonts w:eastAsia="Aptos" w:cs="Arial"/>
          <w:b/>
          <w:bCs/>
          <w:kern w:val="2"/>
          <w:szCs w:val="20"/>
          <w:lang w:val="sl-SI"/>
          <w14:ligatures w14:val="standardContextual"/>
        </w:rPr>
        <w:t>Poenostavljeno potrdilo o ulovu</w:t>
      </w:r>
    </w:p>
    <w:p w14:paraId="7F3A78CD" w14:textId="50C9CFB8" w:rsidR="00BB3A07" w:rsidRPr="00BB3A07" w:rsidRDefault="003B09A4" w:rsidP="00BB3A07">
      <w:pPr>
        <w:spacing w:before="120" w:after="120"/>
        <w:jc w:val="both"/>
        <w:rPr>
          <w:rFonts w:eastAsia="Aptos" w:cs="Arial"/>
          <w:kern w:val="2"/>
          <w:szCs w:val="20"/>
          <w:lang w:val="sl-SI"/>
          <w14:ligatures w14:val="standardContextual"/>
        </w:rPr>
      </w:pPr>
      <w:r>
        <w:rPr>
          <w:rFonts w:eastAsia="Aptos" w:cs="Arial"/>
          <w:kern w:val="2"/>
          <w:szCs w:val="20"/>
          <w:lang w:val="sl-SI"/>
          <w14:ligatures w14:val="standardContextual"/>
        </w:rPr>
        <w:t xml:space="preserve">Poenostavljena potrdila o ulovu vsebujejo večje število ribiških plovil, včasih tudi preko 100. </w:t>
      </w:r>
      <w:r w:rsidR="00F6644A">
        <w:rPr>
          <w:rFonts w:eastAsia="Aptos" w:cs="Arial"/>
          <w:kern w:val="2"/>
          <w:szCs w:val="20"/>
          <w:lang w:val="sl-SI"/>
          <w14:ligatures w14:val="standardContextual"/>
        </w:rPr>
        <w:t xml:space="preserve">Da bi se </w:t>
      </w:r>
      <w:r w:rsidR="00BB3A07" w:rsidRPr="00BB3A07">
        <w:rPr>
          <w:rFonts w:eastAsia="Aptos" w:cs="Arial"/>
          <w:kern w:val="2"/>
          <w:szCs w:val="20"/>
          <w:lang w:val="sl-SI"/>
          <w14:ligatures w14:val="standardContextual"/>
        </w:rPr>
        <w:t>olajšal</w:t>
      </w:r>
      <w:r w:rsidR="00F6644A">
        <w:rPr>
          <w:rFonts w:eastAsia="Aptos" w:cs="Arial"/>
          <w:kern w:val="2"/>
          <w:szCs w:val="20"/>
          <w:lang w:val="sl-SI"/>
          <w14:ligatures w14:val="standardContextual"/>
        </w:rPr>
        <w:t>o</w:t>
      </w:r>
      <w:r w:rsidR="00BB3A07" w:rsidRPr="00BB3A07">
        <w:rPr>
          <w:rFonts w:eastAsia="Aptos" w:cs="Arial"/>
          <w:kern w:val="2"/>
          <w:szCs w:val="20"/>
          <w:lang w:val="sl-SI"/>
          <w14:ligatures w14:val="standardContextual"/>
        </w:rPr>
        <w:t xml:space="preserve"> breme za </w:t>
      </w:r>
      <w:r>
        <w:rPr>
          <w:rFonts w:eastAsia="Aptos" w:cs="Arial"/>
          <w:kern w:val="2"/>
          <w:szCs w:val="20"/>
          <w:lang w:val="sl-SI"/>
          <w14:ligatures w14:val="standardContextual"/>
        </w:rPr>
        <w:t>EU uvoznike</w:t>
      </w:r>
      <w:r w:rsidR="00BB3A07" w:rsidRPr="00BB3A07">
        <w:rPr>
          <w:rFonts w:eastAsia="Aptos" w:cs="Arial"/>
          <w:kern w:val="2"/>
          <w:szCs w:val="20"/>
          <w:lang w:val="sl-SI"/>
          <w14:ligatures w14:val="standardContextual"/>
        </w:rPr>
        <w:t xml:space="preserve"> pri vnašanju podatkov iz </w:t>
      </w:r>
      <w:r w:rsidR="00F6644A">
        <w:rPr>
          <w:rFonts w:eastAsia="Aptos" w:cs="Arial"/>
          <w:kern w:val="2"/>
          <w:szCs w:val="20"/>
          <w:lang w:val="sl-SI"/>
          <w14:ligatures w14:val="standardContextual"/>
        </w:rPr>
        <w:t xml:space="preserve">papirne verzije </w:t>
      </w:r>
      <w:r w:rsidR="00BB3A07" w:rsidRPr="00BB3A07">
        <w:rPr>
          <w:rFonts w:eastAsia="Aptos" w:cs="Arial"/>
          <w:kern w:val="2"/>
          <w:szCs w:val="20"/>
          <w:lang w:val="sl-SI"/>
          <w14:ligatures w14:val="standardContextual"/>
        </w:rPr>
        <w:t>poenostavljenih potrdil o ulovu</w:t>
      </w:r>
      <w:r w:rsidR="00F6644A">
        <w:rPr>
          <w:rFonts w:eastAsia="Aptos" w:cs="Arial"/>
          <w:kern w:val="2"/>
          <w:szCs w:val="20"/>
          <w:lang w:val="sl-SI"/>
          <w14:ligatures w14:val="standardContextual"/>
        </w:rPr>
        <w:t xml:space="preserve"> </w:t>
      </w:r>
      <w:r w:rsidR="002E26D4" w:rsidRPr="00BB3A07">
        <w:rPr>
          <w:rFonts w:eastAsia="Aptos" w:cs="Arial"/>
          <w:kern w:val="2"/>
          <w:szCs w:val="20"/>
          <w:lang w:val="sl-SI"/>
          <w14:ligatures w14:val="standardContextual"/>
        </w:rPr>
        <w:t xml:space="preserve">v </w:t>
      </w:r>
      <w:r w:rsidR="002E26D4">
        <w:rPr>
          <w:rFonts w:eastAsia="Aptos" w:cs="Arial"/>
          <w:kern w:val="2"/>
          <w:szCs w:val="20"/>
          <w:lang w:val="sl-SI"/>
          <w14:ligatures w14:val="standardContextual"/>
        </w:rPr>
        <w:t xml:space="preserve">sistem </w:t>
      </w:r>
      <w:r w:rsidR="002E26D4" w:rsidRPr="00BB3A07">
        <w:rPr>
          <w:rFonts w:eastAsia="Aptos" w:cs="Arial"/>
          <w:kern w:val="2"/>
          <w:szCs w:val="20"/>
          <w:lang w:val="sl-SI"/>
          <w14:ligatures w14:val="standardContextual"/>
        </w:rPr>
        <w:t xml:space="preserve">CATCH </w:t>
      </w:r>
      <w:r w:rsidR="00F6644A">
        <w:rPr>
          <w:rFonts w:eastAsia="Aptos" w:cs="Arial"/>
          <w:kern w:val="2"/>
          <w:szCs w:val="20"/>
          <w:lang w:val="sl-SI"/>
          <w14:ligatures w14:val="standardContextual"/>
        </w:rPr>
        <w:t>Komisija p</w:t>
      </w:r>
      <w:r w:rsidR="00BB3A07" w:rsidRPr="00BB3A07">
        <w:rPr>
          <w:rFonts w:eastAsia="Aptos" w:cs="Arial"/>
          <w:kern w:val="2"/>
          <w:szCs w:val="20"/>
          <w:lang w:val="sl-SI"/>
          <w14:ligatures w14:val="standardContextual"/>
        </w:rPr>
        <w:t xml:space="preserve">riporoča, da se v primerih, ko ta potrdila vključujejo več kot 25 ribiških plovil, vnesejo podatki prvih 25 plovil, medtem ko se za </w:t>
      </w:r>
      <w:r w:rsidR="00F6644A">
        <w:rPr>
          <w:rFonts w:eastAsia="Aptos" w:cs="Arial"/>
          <w:kern w:val="2"/>
          <w:szCs w:val="20"/>
          <w:lang w:val="sl-SI"/>
          <w14:ligatures w14:val="standardContextual"/>
        </w:rPr>
        <w:t xml:space="preserve">količine za </w:t>
      </w:r>
      <w:r w:rsidR="00BB3A07" w:rsidRPr="00BB3A07">
        <w:rPr>
          <w:rFonts w:eastAsia="Aptos" w:cs="Arial"/>
          <w:kern w:val="2"/>
          <w:szCs w:val="20"/>
          <w:lang w:val="sl-SI"/>
          <w14:ligatures w14:val="standardContextual"/>
        </w:rPr>
        <w:t xml:space="preserve">preostala plovila (po vrstah) seštejejo in kumulativno pripišejo 26. plovilu. Na ta način največje število plovil, ki se vpišejo v sistem CATCH </w:t>
      </w:r>
      <w:r w:rsidR="00F6644A">
        <w:rPr>
          <w:rFonts w:eastAsia="Aptos" w:cs="Arial"/>
          <w:kern w:val="2"/>
          <w:szCs w:val="20"/>
          <w:lang w:val="sl-SI"/>
          <w14:ligatures w14:val="standardContextual"/>
        </w:rPr>
        <w:t xml:space="preserve">ne bo večje od 26 </w:t>
      </w:r>
      <w:r w:rsidR="00BB3A07" w:rsidRPr="00BB3A07">
        <w:rPr>
          <w:rFonts w:eastAsia="Aptos" w:cs="Arial"/>
          <w:kern w:val="2"/>
          <w:szCs w:val="20"/>
          <w:lang w:val="sl-SI"/>
          <w14:ligatures w14:val="standardContextual"/>
        </w:rPr>
        <w:t xml:space="preserve">za katero koli </w:t>
      </w:r>
      <w:r>
        <w:rPr>
          <w:rFonts w:eastAsia="Aptos" w:cs="Arial"/>
          <w:kern w:val="2"/>
          <w:szCs w:val="20"/>
          <w:lang w:val="sl-SI"/>
          <w14:ligatures w14:val="standardContextual"/>
        </w:rPr>
        <w:t>poenostavljeno potrdilo o ulovu</w:t>
      </w:r>
      <w:r w:rsidR="00F6644A">
        <w:rPr>
          <w:rFonts w:eastAsia="Aptos" w:cs="Arial"/>
          <w:kern w:val="2"/>
          <w:szCs w:val="20"/>
          <w:lang w:val="sl-SI"/>
          <w14:ligatures w14:val="standardContextual"/>
        </w:rPr>
        <w:t>.</w:t>
      </w:r>
    </w:p>
    <w:p w14:paraId="013956F9" w14:textId="08A56FE6" w:rsidR="00BB3A07" w:rsidRPr="003B09A4" w:rsidRDefault="00F6644A" w:rsidP="00BB3A07">
      <w:pPr>
        <w:spacing w:before="120" w:after="120"/>
        <w:jc w:val="both"/>
        <w:rPr>
          <w:rFonts w:eastAsia="Aptos" w:cs="Arial"/>
          <w:kern w:val="2"/>
          <w:szCs w:val="20"/>
          <w:u w:val="single"/>
          <w:lang w:val="sl-SI"/>
          <w14:ligatures w14:val="standardContextual"/>
        </w:rPr>
      </w:pPr>
      <w:r>
        <w:rPr>
          <w:rFonts w:eastAsia="Aptos" w:cs="Arial"/>
          <w:kern w:val="2"/>
          <w:szCs w:val="20"/>
          <w:lang w:val="sl-SI"/>
          <w14:ligatures w14:val="standardContextual"/>
        </w:rPr>
        <w:t xml:space="preserve">Omenjen </w:t>
      </w:r>
      <w:r w:rsidR="00BB3A07" w:rsidRPr="00BB3A07">
        <w:rPr>
          <w:rFonts w:eastAsia="Aptos" w:cs="Arial"/>
          <w:kern w:val="2"/>
          <w:szCs w:val="20"/>
          <w:lang w:val="sl-SI"/>
          <w14:ligatures w14:val="standardContextual"/>
        </w:rPr>
        <w:t xml:space="preserve">pristop ne bo vplival na splošno upravljanje količin v sistemu CATCH, bo pa vplival na nekatera avtomatizirana opozorila v zvezi s posameznimi plovili. </w:t>
      </w:r>
      <w:r w:rsidR="00BB3A07" w:rsidRPr="003B09A4">
        <w:rPr>
          <w:rFonts w:eastAsia="Aptos" w:cs="Arial"/>
          <w:kern w:val="2"/>
          <w:szCs w:val="20"/>
          <w:u w:val="single"/>
          <w:lang w:val="sl-SI"/>
          <w14:ligatures w14:val="standardContextual"/>
        </w:rPr>
        <w:t xml:space="preserve">Predlagani pristop je začasne narave, medtem ko </w:t>
      </w:r>
      <w:r>
        <w:rPr>
          <w:rFonts w:eastAsia="Aptos" w:cs="Arial"/>
          <w:kern w:val="2"/>
          <w:szCs w:val="20"/>
          <w:u w:val="single"/>
          <w:lang w:val="sl-SI"/>
          <w14:ligatures w14:val="standardContextual"/>
        </w:rPr>
        <w:t xml:space="preserve">se išče </w:t>
      </w:r>
      <w:r w:rsidR="00BB3A07" w:rsidRPr="003B09A4">
        <w:rPr>
          <w:rFonts w:eastAsia="Aptos" w:cs="Arial"/>
          <w:kern w:val="2"/>
          <w:szCs w:val="20"/>
          <w:u w:val="single"/>
          <w:lang w:val="sl-SI"/>
          <w14:ligatures w14:val="standardContextual"/>
        </w:rPr>
        <w:t>možnost za dolgoročno rešitev.</w:t>
      </w:r>
    </w:p>
    <w:p w14:paraId="38A093A2" w14:textId="77777777" w:rsidR="00F6644A" w:rsidRDefault="00F6644A" w:rsidP="00484245">
      <w:pPr>
        <w:spacing w:before="120" w:after="120"/>
        <w:jc w:val="both"/>
        <w:rPr>
          <w:rFonts w:eastAsia="Aptos" w:cs="Arial"/>
          <w:b/>
          <w:bCs/>
          <w:kern w:val="2"/>
          <w:szCs w:val="20"/>
          <w:u w:val="single"/>
          <w:lang w:val="sl-SI"/>
          <w14:ligatures w14:val="standardContextual"/>
        </w:rPr>
      </w:pPr>
    </w:p>
    <w:p w14:paraId="4666CFBD" w14:textId="4DC278C9" w:rsidR="00484245" w:rsidRDefault="00484245" w:rsidP="00484245">
      <w:pPr>
        <w:spacing w:before="120" w:after="120"/>
        <w:jc w:val="both"/>
        <w:rPr>
          <w:rFonts w:eastAsia="Aptos" w:cs="Arial"/>
          <w:b/>
          <w:bCs/>
          <w:kern w:val="2"/>
          <w:szCs w:val="20"/>
          <w:u w:val="single"/>
          <w:lang w:val="sl-SI"/>
          <w14:ligatures w14:val="standardContextual"/>
        </w:rPr>
      </w:pPr>
      <w:r w:rsidRPr="008446C0">
        <w:rPr>
          <w:rFonts w:eastAsia="Aptos" w:cs="Arial"/>
          <w:b/>
          <w:bCs/>
          <w:kern w:val="2"/>
          <w:szCs w:val="20"/>
          <w:u w:val="single"/>
          <w:lang w:val="sl-SI"/>
          <w14:ligatures w14:val="standardContextual"/>
        </w:rPr>
        <w:t xml:space="preserve">Obvestilo Komisije z dne </w:t>
      </w:r>
      <w:r>
        <w:rPr>
          <w:rFonts w:eastAsia="Aptos" w:cs="Arial"/>
          <w:b/>
          <w:bCs/>
          <w:kern w:val="2"/>
          <w:szCs w:val="20"/>
          <w:u w:val="single"/>
          <w:lang w:val="sl-SI"/>
          <w14:ligatures w14:val="standardContextual"/>
        </w:rPr>
        <w:t>19</w:t>
      </w:r>
      <w:r w:rsidRPr="008446C0">
        <w:rPr>
          <w:rFonts w:eastAsia="Aptos" w:cs="Arial"/>
          <w:b/>
          <w:bCs/>
          <w:kern w:val="2"/>
          <w:szCs w:val="20"/>
          <w:u w:val="single"/>
          <w:lang w:val="sl-SI"/>
          <w14:ligatures w14:val="standardContextual"/>
        </w:rPr>
        <w:t>. 1. 2026</w:t>
      </w:r>
    </w:p>
    <w:p w14:paraId="5F538D1A" w14:textId="77777777" w:rsidR="00484245" w:rsidRPr="00C8292C" w:rsidRDefault="00484245" w:rsidP="00C8292C">
      <w:pPr>
        <w:pStyle w:val="Odstavekseznama"/>
        <w:numPr>
          <w:ilvl w:val="0"/>
          <w:numId w:val="10"/>
        </w:numPr>
        <w:spacing w:before="120" w:after="120"/>
        <w:jc w:val="both"/>
        <w:rPr>
          <w:b/>
          <w:bCs/>
          <w:lang w:val="sl-SI"/>
        </w:rPr>
      </w:pPr>
      <w:r w:rsidRPr="00C8292C">
        <w:rPr>
          <w:b/>
          <w:bCs/>
          <w:lang w:val="sl-SI"/>
        </w:rPr>
        <w:t>Dogovorjene predloge zapisov</w:t>
      </w:r>
    </w:p>
    <w:p w14:paraId="2892CAAD" w14:textId="77777777" w:rsidR="00484245" w:rsidRPr="00484245" w:rsidRDefault="00484245" w:rsidP="00484245">
      <w:pPr>
        <w:spacing w:before="120" w:after="120"/>
        <w:jc w:val="both"/>
        <w:rPr>
          <w:lang w:val="sl-SI"/>
        </w:rPr>
      </w:pPr>
      <w:r w:rsidRPr="00484245">
        <w:rPr>
          <w:lang w:val="sl-SI"/>
        </w:rPr>
        <w:t>Islandija, Norveška in Nova Zelandija so od 10. januarja 2026 interoperabilne s sistemom CATCH za prenos potrjenih potrdil o ulovu.</w:t>
      </w:r>
    </w:p>
    <w:p w14:paraId="24D3B55C" w14:textId="73A64D06" w:rsidR="00484245" w:rsidRPr="00484245" w:rsidRDefault="00484245" w:rsidP="00484245">
      <w:pPr>
        <w:spacing w:before="120" w:after="120"/>
        <w:jc w:val="both"/>
        <w:rPr>
          <w:lang w:val="sl-SI"/>
        </w:rPr>
      </w:pPr>
      <w:r w:rsidRPr="00484245">
        <w:rPr>
          <w:lang w:val="sl-SI"/>
        </w:rPr>
        <w:t>V skladu z Uredbo o nezakonitem, neprijavljenem in nereguliranem ribolovu (IUU) potrdila o ulovu, ki so jih ti organi potrdili pred 10. januarjem 2026 na dogovorjenih posebnih predlogah, ostanejo veljavna do 10. januarja 2028.</w:t>
      </w:r>
    </w:p>
    <w:p w14:paraId="279CC95D" w14:textId="77777777" w:rsidR="00484245" w:rsidRPr="00484245" w:rsidRDefault="00484245" w:rsidP="00484245">
      <w:pPr>
        <w:spacing w:before="120" w:after="120"/>
        <w:jc w:val="both"/>
        <w:rPr>
          <w:lang w:val="sl-SI"/>
        </w:rPr>
      </w:pPr>
      <w:r w:rsidRPr="00484245">
        <w:rPr>
          <w:lang w:val="sl-SI"/>
        </w:rPr>
        <w:t xml:space="preserve">Te predloge ne predvidevajo razčlenitve količin ulova po plovilih, temveč le seznam plovil in s tem povezanih skupnih iztovarjanj. </w:t>
      </w:r>
    </w:p>
    <w:p w14:paraId="39B4212B" w14:textId="59682EEB" w:rsidR="00484245" w:rsidRPr="00484245" w:rsidRDefault="00484245" w:rsidP="00484245">
      <w:pPr>
        <w:spacing w:before="120" w:after="120"/>
        <w:jc w:val="both"/>
        <w:rPr>
          <w:lang w:val="sl-SI"/>
        </w:rPr>
      </w:pPr>
      <w:r w:rsidRPr="00484245">
        <w:rPr>
          <w:lang w:val="sl-SI"/>
        </w:rPr>
        <w:t xml:space="preserve">Glede na to, da ti podatki o razčlenitvi niso bili obvezni, in da lahko </w:t>
      </w:r>
      <w:r w:rsidR="00C87411">
        <w:rPr>
          <w:lang w:val="sl-SI"/>
        </w:rPr>
        <w:t>operater</w:t>
      </w:r>
      <w:r w:rsidRPr="00484245">
        <w:rPr>
          <w:lang w:val="sl-SI"/>
        </w:rPr>
        <w:t xml:space="preserve"> v sistem CATCH vnese potrdila o ulovu, potrjena pred 10. januarjem 2026, </w:t>
      </w:r>
      <w:r w:rsidR="00C87411">
        <w:rPr>
          <w:lang w:val="sl-SI"/>
        </w:rPr>
        <w:t xml:space="preserve">podajamo naslednja </w:t>
      </w:r>
      <w:r w:rsidRPr="00484245">
        <w:rPr>
          <w:lang w:val="sl-SI"/>
        </w:rPr>
        <w:t>navodila:</w:t>
      </w:r>
    </w:p>
    <w:p w14:paraId="35E5C15F" w14:textId="2DECA12D" w:rsidR="00484245" w:rsidRPr="00C8292C" w:rsidRDefault="00484245" w:rsidP="00C8292C">
      <w:pPr>
        <w:pStyle w:val="Odstavekseznama"/>
        <w:numPr>
          <w:ilvl w:val="0"/>
          <w:numId w:val="11"/>
        </w:numPr>
        <w:spacing w:before="120" w:after="120"/>
        <w:jc w:val="both"/>
        <w:rPr>
          <w:lang w:val="sl-SI"/>
        </w:rPr>
      </w:pPr>
      <w:r w:rsidRPr="00C8292C">
        <w:rPr>
          <w:lang w:val="sl-SI"/>
        </w:rPr>
        <w:t xml:space="preserve">razčlenitev ulova po plovilih je le okvirna, izbira je prepuščena </w:t>
      </w:r>
      <w:r w:rsidR="00C87411">
        <w:rPr>
          <w:lang w:val="sl-SI"/>
        </w:rPr>
        <w:t>operaterju</w:t>
      </w:r>
      <w:r w:rsidRPr="00C8292C">
        <w:rPr>
          <w:lang w:val="sl-SI"/>
        </w:rPr>
        <w:t>, pod pogojem, da skupna razčlenitev odraža skupno količino ulova, potrjeno s potrdilom o ulovu,</w:t>
      </w:r>
    </w:p>
    <w:p w14:paraId="4A382484" w14:textId="1F69E88B" w:rsidR="00484245" w:rsidRPr="00C8292C" w:rsidRDefault="00484245" w:rsidP="00C8292C">
      <w:pPr>
        <w:pStyle w:val="Odstavekseznama"/>
        <w:numPr>
          <w:ilvl w:val="0"/>
          <w:numId w:val="11"/>
        </w:numPr>
        <w:spacing w:before="120" w:after="120"/>
        <w:jc w:val="both"/>
        <w:rPr>
          <w:lang w:val="sl-SI"/>
        </w:rPr>
      </w:pPr>
      <w:r w:rsidRPr="00C8292C">
        <w:rPr>
          <w:lang w:val="sl-SI"/>
        </w:rPr>
        <w:t>zahteva se le, da se vsakemu plovilu, navedenemu v potrdilu o ulovu in tako registriranemu v sistemu CATCH s strani operaterja, pripiše vsaj 1 kg ulova, navedenega v potrdilu o ulovu. V sistemu CATCH se razvija nova funkcija, da ta druga zahteva ne bo več potrebna (glejte primer spodaj). Ta nova funkcija bo na voljo v začetku februarja.</w:t>
      </w:r>
    </w:p>
    <w:p w14:paraId="5E223CE7" w14:textId="77777777" w:rsidR="00C8292C" w:rsidRPr="00C87411" w:rsidRDefault="00C8292C" w:rsidP="00C8292C">
      <w:pPr>
        <w:rPr>
          <w:u w:val="single"/>
          <w:lang w:val="sl-SI"/>
        </w:rPr>
      </w:pPr>
      <w:r w:rsidRPr="00C87411">
        <w:rPr>
          <w:u w:val="single"/>
          <w:lang w:val="sl-SI"/>
        </w:rPr>
        <w:t xml:space="preserve">Primer: </w:t>
      </w:r>
    </w:p>
    <w:p w14:paraId="62874F98" w14:textId="77777777" w:rsidR="00C8292C" w:rsidRPr="00C8292C" w:rsidRDefault="00C8292C" w:rsidP="00C8292C">
      <w:pPr>
        <w:rPr>
          <w:lang w:val="sl-SI"/>
        </w:rPr>
      </w:pPr>
    </w:p>
    <w:p w14:paraId="7C0566B6" w14:textId="0ACEB083" w:rsidR="00C8292C" w:rsidRPr="00C87411" w:rsidRDefault="00C8292C" w:rsidP="00C8292C">
      <w:pPr>
        <w:rPr>
          <w:b/>
          <w:bCs/>
          <w:lang w:val="sl-SI"/>
        </w:rPr>
      </w:pPr>
      <w:r w:rsidRPr="00C87411">
        <w:rPr>
          <w:b/>
          <w:bCs/>
          <w:lang w:val="sl-SI"/>
        </w:rPr>
        <w:t xml:space="preserve">I.Blago </w:t>
      </w:r>
    </w:p>
    <w:p w14:paraId="764254EA" w14:textId="77777777" w:rsidR="00C8292C" w:rsidRPr="00C8292C" w:rsidRDefault="00C8292C" w:rsidP="00C8292C">
      <w:pPr>
        <w:rPr>
          <w:lang w:val="sl-SI"/>
        </w:rPr>
      </w:pPr>
      <w:r w:rsidRPr="00C8292C">
        <w:rPr>
          <w:lang w:val="sl-SI"/>
        </w:rPr>
        <w:t>030471XX          neto teža 1500</w:t>
      </w:r>
    </w:p>
    <w:p w14:paraId="69C09E80" w14:textId="77777777" w:rsidR="00C8292C" w:rsidRPr="00C8292C" w:rsidRDefault="00C8292C" w:rsidP="00C8292C">
      <w:pPr>
        <w:rPr>
          <w:lang w:val="sl-SI"/>
        </w:rPr>
      </w:pPr>
      <w:r w:rsidRPr="00C8292C">
        <w:rPr>
          <w:lang w:val="sl-SI"/>
        </w:rPr>
        <w:t>030472XX          neto teža 2500</w:t>
      </w:r>
    </w:p>
    <w:p w14:paraId="1D8D7A54" w14:textId="77777777" w:rsidR="00C8292C" w:rsidRPr="00C8292C" w:rsidRDefault="00C8292C" w:rsidP="00C8292C">
      <w:pPr>
        <w:rPr>
          <w:lang w:val="sl-SI"/>
        </w:rPr>
      </w:pPr>
    </w:p>
    <w:p w14:paraId="579ABC96" w14:textId="77777777" w:rsidR="00C8292C" w:rsidRPr="00C87411" w:rsidRDefault="00C8292C" w:rsidP="00C8292C">
      <w:pPr>
        <w:rPr>
          <w:b/>
          <w:bCs/>
          <w:lang w:val="sl-SI"/>
        </w:rPr>
      </w:pPr>
      <w:r w:rsidRPr="00C87411">
        <w:rPr>
          <w:b/>
          <w:bCs/>
          <w:lang w:val="sl-SI"/>
        </w:rPr>
        <w:t xml:space="preserve">II. Plovila : </w:t>
      </w:r>
    </w:p>
    <w:p w14:paraId="664198B0" w14:textId="77777777" w:rsidR="00C8292C" w:rsidRPr="00C8292C" w:rsidRDefault="00C8292C" w:rsidP="00C8292C">
      <w:pPr>
        <w:rPr>
          <w:lang w:val="sl-SI"/>
        </w:rPr>
      </w:pPr>
      <w:r w:rsidRPr="00C8292C">
        <w:rPr>
          <w:lang w:val="sl-SI"/>
        </w:rPr>
        <w:lastRenderedPageBreak/>
        <w:t xml:space="preserve">ABC                    </w:t>
      </w:r>
    </w:p>
    <w:p w14:paraId="7D8B7BBD" w14:textId="77777777" w:rsidR="00C8292C" w:rsidRPr="00C8292C" w:rsidRDefault="00C8292C" w:rsidP="00C8292C">
      <w:pPr>
        <w:rPr>
          <w:lang w:val="sl-SI"/>
        </w:rPr>
      </w:pPr>
      <w:r w:rsidRPr="00C8292C">
        <w:rPr>
          <w:lang w:val="sl-SI"/>
        </w:rPr>
        <w:t>DEF</w:t>
      </w:r>
    </w:p>
    <w:p w14:paraId="6B16FFC3" w14:textId="77777777" w:rsidR="00C8292C" w:rsidRPr="00C8292C" w:rsidRDefault="00C8292C" w:rsidP="00C8292C">
      <w:pPr>
        <w:rPr>
          <w:lang w:val="sl-SI"/>
        </w:rPr>
      </w:pPr>
      <w:r w:rsidRPr="00C8292C">
        <w:rPr>
          <w:lang w:val="sl-SI"/>
        </w:rPr>
        <w:t>GHI</w:t>
      </w:r>
    </w:p>
    <w:p w14:paraId="6C5ED0A7" w14:textId="77777777" w:rsidR="00C8292C" w:rsidRPr="00C8292C" w:rsidRDefault="00C8292C" w:rsidP="00C8292C">
      <w:pPr>
        <w:rPr>
          <w:lang w:val="sl-SI"/>
        </w:rPr>
      </w:pPr>
      <w:r w:rsidRPr="00C8292C">
        <w:rPr>
          <w:lang w:val="sl-SI"/>
        </w:rPr>
        <w:t>KLM</w:t>
      </w:r>
    </w:p>
    <w:p w14:paraId="0C777767" w14:textId="77777777" w:rsidR="00C8292C" w:rsidRPr="00C8292C" w:rsidRDefault="00C8292C" w:rsidP="00C8292C">
      <w:pPr>
        <w:rPr>
          <w:lang w:val="sl-SI"/>
        </w:rPr>
      </w:pPr>
    </w:p>
    <w:p w14:paraId="5E2C7113" w14:textId="77777777" w:rsidR="00C8292C" w:rsidRPr="00C8292C" w:rsidRDefault="00C8292C" w:rsidP="00C8292C">
      <w:pPr>
        <w:rPr>
          <w:lang w:val="sl-SI"/>
        </w:rPr>
      </w:pPr>
      <w:r w:rsidRPr="00C8292C">
        <w:rPr>
          <w:lang w:val="sl-SI"/>
        </w:rPr>
        <w:t>Operater lahko nato razporedi naslednje količine:</w:t>
      </w:r>
    </w:p>
    <w:p w14:paraId="69FACAC1" w14:textId="77777777" w:rsidR="00C8292C" w:rsidRPr="00C8292C" w:rsidRDefault="00C8292C" w:rsidP="00C8292C">
      <w:pPr>
        <w:rPr>
          <w:lang w:val="sl-SI"/>
        </w:rPr>
      </w:pPr>
    </w:p>
    <w:p w14:paraId="55413AAF" w14:textId="35BDD9E9" w:rsidR="00C8292C" w:rsidRPr="00C8292C" w:rsidRDefault="00C8292C" w:rsidP="00C8292C">
      <w:pPr>
        <w:rPr>
          <w:lang w:val="sl-SI"/>
        </w:rPr>
      </w:pPr>
      <w:r w:rsidRPr="00C8292C">
        <w:rPr>
          <w:lang w:val="sl-SI"/>
        </w:rPr>
        <w:t xml:space="preserve">ABC                    </w:t>
      </w:r>
      <w:r w:rsidR="00C87411">
        <w:rPr>
          <w:lang w:val="sl-SI"/>
        </w:rPr>
        <w:t xml:space="preserve"> </w:t>
      </w:r>
      <w:r w:rsidRPr="00C8292C">
        <w:rPr>
          <w:lang w:val="sl-SI"/>
        </w:rPr>
        <w:t>030471XX          1500 kg</w:t>
      </w:r>
    </w:p>
    <w:p w14:paraId="42752CFB" w14:textId="003005EF" w:rsidR="00C8292C" w:rsidRPr="00C8292C" w:rsidRDefault="00C8292C" w:rsidP="00C8292C">
      <w:pPr>
        <w:rPr>
          <w:lang w:val="sl-SI"/>
        </w:rPr>
      </w:pPr>
      <w:r w:rsidRPr="00C8292C">
        <w:rPr>
          <w:lang w:val="sl-SI"/>
        </w:rPr>
        <w:t xml:space="preserve">                            030472XX          </w:t>
      </w:r>
      <w:r w:rsidR="00C87411">
        <w:rPr>
          <w:lang w:val="sl-SI"/>
        </w:rPr>
        <w:t xml:space="preserve"> </w:t>
      </w:r>
      <w:r w:rsidRPr="00C8292C">
        <w:rPr>
          <w:lang w:val="sl-SI"/>
        </w:rPr>
        <w:t>2497 kg</w:t>
      </w:r>
    </w:p>
    <w:p w14:paraId="244B781F" w14:textId="27D8AE3B" w:rsidR="00C8292C" w:rsidRPr="00C8292C" w:rsidRDefault="00C8292C" w:rsidP="00C8292C">
      <w:pPr>
        <w:rPr>
          <w:lang w:val="sl-SI"/>
        </w:rPr>
      </w:pPr>
      <w:r w:rsidRPr="00C8292C">
        <w:rPr>
          <w:lang w:val="sl-SI"/>
        </w:rPr>
        <w:t xml:space="preserve">DEF                     030272XX          </w:t>
      </w:r>
      <w:r w:rsidR="00C87411">
        <w:rPr>
          <w:lang w:val="sl-SI"/>
        </w:rPr>
        <w:t xml:space="preserve">      </w:t>
      </w:r>
      <w:r w:rsidRPr="00C8292C">
        <w:rPr>
          <w:lang w:val="sl-SI"/>
        </w:rPr>
        <w:t>1 kg</w:t>
      </w:r>
    </w:p>
    <w:p w14:paraId="7E4BF60E" w14:textId="557F8509" w:rsidR="00C8292C" w:rsidRPr="00C8292C" w:rsidRDefault="00C8292C" w:rsidP="00C8292C">
      <w:pPr>
        <w:rPr>
          <w:lang w:val="sl-SI"/>
        </w:rPr>
      </w:pPr>
      <w:r w:rsidRPr="00C8292C">
        <w:rPr>
          <w:lang w:val="sl-SI"/>
        </w:rPr>
        <w:t xml:space="preserve">GHI                     </w:t>
      </w:r>
      <w:r w:rsidR="00C87411">
        <w:rPr>
          <w:lang w:val="sl-SI"/>
        </w:rPr>
        <w:t xml:space="preserve"> </w:t>
      </w:r>
      <w:r w:rsidRPr="00C8292C">
        <w:rPr>
          <w:lang w:val="sl-SI"/>
        </w:rPr>
        <w:t xml:space="preserve">030472XX          </w:t>
      </w:r>
      <w:r w:rsidR="00C87411">
        <w:rPr>
          <w:lang w:val="sl-SI"/>
        </w:rPr>
        <w:t xml:space="preserve">      </w:t>
      </w:r>
      <w:r w:rsidRPr="00C8292C">
        <w:rPr>
          <w:lang w:val="sl-SI"/>
        </w:rPr>
        <w:t>1 kg</w:t>
      </w:r>
    </w:p>
    <w:p w14:paraId="432B6B26" w14:textId="1EA0EA6A" w:rsidR="00C8292C" w:rsidRPr="00C8292C" w:rsidRDefault="00C8292C" w:rsidP="00C8292C">
      <w:pPr>
        <w:rPr>
          <w:lang w:val="sl-SI"/>
        </w:rPr>
      </w:pPr>
      <w:r w:rsidRPr="00C8292C">
        <w:rPr>
          <w:lang w:val="sl-SI"/>
        </w:rPr>
        <w:t xml:space="preserve">KLM                     030472XX          </w:t>
      </w:r>
      <w:r w:rsidR="00C87411">
        <w:rPr>
          <w:lang w:val="sl-SI"/>
        </w:rPr>
        <w:t xml:space="preserve">      </w:t>
      </w:r>
      <w:r w:rsidRPr="00C8292C">
        <w:rPr>
          <w:lang w:val="sl-SI"/>
        </w:rPr>
        <w:t>1 kg</w:t>
      </w:r>
    </w:p>
    <w:p w14:paraId="73BA7894" w14:textId="77777777" w:rsidR="00C8292C" w:rsidRPr="00C8292C" w:rsidRDefault="00C8292C" w:rsidP="00C8292C">
      <w:pPr>
        <w:spacing w:before="120" w:after="120"/>
        <w:jc w:val="both"/>
        <w:rPr>
          <w:rFonts w:eastAsia="Aptos" w:cs="Arial"/>
          <w:b/>
          <w:bCs/>
          <w:kern w:val="2"/>
          <w:szCs w:val="20"/>
          <w:u w:val="single"/>
          <w:lang w:val="sl-SI"/>
          <w14:ligatures w14:val="standardContextual"/>
        </w:rPr>
      </w:pPr>
    </w:p>
    <w:p w14:paraId="53B0B58F" w14:textId="77777777" w:rsidR="00C8292C" w:rsidRPr="00C8292C" w:rsidRDefault="00C8292C" w:rsidP="00C8292C">
      <w:pPr>
        <w:spacing w:before="120" w:after="120"/>
        <w:jc w:val="both"/>
        <w:rPr>
          <w:rFonts w:eastAsia="Aptos" w:cs="Arial"/>
          <w:b/>
          <w:bCs/>
          <w:kern w:val="2"/>
          <w:szCs w:val="20"/>
          <w:u w:val="single"/>
          <w:lang w:val="sl-SI"/>
          <w14:ligatures w14:val="standardContextual"/>
        </w:rPr>
      </w:pPr>
    </w:p>
    <w:p w14:paraId="58FCFD25" w14:textId="3D320917" w:rsidR="00484245" w:rsidRPr="00BB3A07" w:rsidRDefault="00C8292C" w:rsidP="00C8292C">
      <w:pPr>
        <w:rPr>
          <w:rFonts w:eastAsia="Aptos"/>
          <w:lang w:val="pl-PL"/>
        </w:rPr>
      </w:pPr>
      <w:r w:rsidRPr="00C8292C">
        <w:rPr>
          <w:lang w:val="sl-SI"/>
        </w:rPr>
        <w:t>S funkcijo, ki bo na voljo od začetka februarja, bo operater lahko vse deklarirane količine dodelil le enemu plovilu:</w:t>
      </w:r>
    </w:p>
    <w:p w14:paraId="7B49B9B5" w14:textId="77777777" w:rsidR="00C8292C" w:rsidRPr="00C8292C" w:rsidRDefault="00C8292C" w:rsidP="00C8292C">
      <w:pPr>
        <w:rPr>
          <w:lang w:val="sl-SI"/>
        </w:rPr>
      </w:pPr>
      <w:r w:rsidRPr="00C8292C">
        <w:rPr>
          <w:lang w:val="sl-SI"/>
        </w:rPr>
        <w:t>ABC                     030471XX          1500 kg</w:t>
      </w:r>
    </w:p>
    <w:p w14:paraId="566657E1" w14:textId="77777777" w:rsidR="00C8292C" w:rsidRPr="00C8292C" w:rsidRDefault="00C8292C" w:rsidP="00C8292C">
      <w:pPr>
        <w:rPr>
          <w:lang w:val="sl-SI"/>
        </w:rPr>
      </w:pPr>
      <w:r w:rsidRPr="00C8292C">
        <w:rPr>
          <w:lang w:val="sl-SI"/>
        </w:rPr>
        <w:t xml:space="preserve">                             030472XX          2500 kg</w:t>
      </w:r>
    </w:p>
    <w:p w14:paraId="2F4627C9" w14:textId="23649DDB" w:rsidR="00C8292C" w:rsidRPr="00C8292C" w:rsidRDefault="00C8292C" w:rsidP="00C8292C">
      <w:pPr>
        <w:rPr>
          <w:lang w:val="sl-SI"/>
        </w:rPr>
      </w:pPr>
      <w:r w:rsidRPr="00C8292C">
        <w:rPr>
          <w:lang w:val="sl-SI"/>
        </w:rPr>
        <w:t>DEF                                                       0 kg</w:t>
      </w:r>
    </w:p>
    <w:p w14:paraId="317103B7" w14:textId="6608AA35" w:rsidR="00C8292C" w:rsidRPr="00C8292C" w:rsidRDefault="00C8292C" w:rsidP="00C8292C">
      <w:pPr>
        <w:rPr>
          <w:lang w:val="sl-SI"/>
        </w:rPr>
      </w:pPr>
      <w:r w:rsidRPr="00C8292C">
        <w:rPr>
          <w:lang w:val="sl-SI"/>
        </w:rPr>
        <w:t>GHI                                                        0 kg</w:t>
      </w:r>
    </w:p>
    <w:p w14:paraId="13837997" w14:textId="608B3DD4" w:rsidR="00484245" w:rsidRPr="00C87411" w:rsidRDefault="00C8292C" w:rsidP="00C8292C">
      <w:pPr>
        <w:rPr>
          <w:rFonts w:eastAsia="Aptos"/>
          <w:lang w:val="sl-SI"/>
        </w:rPr>
      </w:pPr>
      <w:r w:rsidRPr="00C8292C">
        <w:rPr>
          <w:lang w:val="sl-SI"/>
        </w:rPr>
        <w:t>KLM                                                       0 kg</w:t>
      </w:r>
    </w:p>
    <w:p w14:paraId="6179F694" w14:textId="77777777" w:rsidR="00484245" w:rsidRDefault="00484245" w:rsidP="008446C0">
      <w:pPr>
        <w:spacing w:before="120" w:after="120"/>
        <w:jc w:val="both"/>
        <w:rPr>
          <w:rFonts w:eastAsia="Aptos" w:cs="Arial"/>
          <w:b/>
          <w:bCs/>
          <w:kern w:val="2"/>
          <w:szCs w:val="20"/>
          <w:u w:val="single"/>
          <w:lang w:val="sl-SI"/>
          <w14:ligatures w14:val="standardContextual"/>
        </w:rPr>
      </w:pPr>
    </w:p>
    <w:p w14:paraId="3212AA68" w14:textId="35DC5A1E" w:rsidR="008446C0" w:rsidRDefault="008446C0" w:rsidP="008446C0">
      <w:pPr>
        <w:spacing w:before="120" w:after="120"/>
        <w:jc w:val="both"/>
        <w:rPr>
          <w:rFonts w:eastAsia="Aptos" w:cs="Arial"/>
          <w:b/>
          <w:bCs/>
          <w:kern w:val="2"/>
          <w:szCs w:val="20"/>
          <w:u w:val="single"/>
          <w:lang w:val="sl-SI"/>
          <w14:ligatures w14:val="standardContextual"/>
        </w:rPr>
      </w:pPr>
      <w:r w:rsidRPr="008446C0">
        <w:rPr>
          <w:rFonts w:eastAsia="Aptos" w:cs="Arial"/>
          <w:b/>
          <w:bCs/>
          <w:kern w:val="2"/>
          <w:szCs w:val="20"/>
          <w:u w:val="single"/>
          <w:lang w:val="sl-SI"/>
          <w14:ligatures w14:val="standardContextual"/>
        </w:rPr>
        <w:t xml:space="preserve">Obvestilo Komisije z dne </w:t>
      </w:r>
      <w:r>
        <w:rPr>
          <w:rFonts w:eastAsia="Aptos" w:cs="Arial"/>
          <w:b/>
          <w:bCs/>
          <w:kern w:val="2"/>
          <w:szCs w:val="20"/>
          <w:u w:val="single"/>
          <w:lang w:val="sl-SI"/>
          <w14:ligatures w14:val="standardContextual"/>
        </w:rPr>
        <w:t>13</w:t>
      </w:r>
      <w:r w:rsidRPr="008446C0">
        <w:rPr>
          <w:rFonts w:eastAsia="Aptos" w:cs="Arial"/>
          <w:b/>
          <w:bCs/>
          <w:kern w:val="2"/>
          <w:szCs w:val="20"/>
          <w:u w:val="single"/>
          <w:lang w:val="sl-SI"/>
          <w14:ligatures w14:val="standardContextual"/>
        </w:rPr>
        <w:t>. 1. 2026</w:t>
      </w:r>
    </w:p>
    <w:p w14:paraId="4C532C0D" w14:textId="77777777" w:rsidR="008446C0" w:rsidRPr="008446C0" w:rsidRDefault="008446C0" w:rsidP="008446C0">
      <w:pPr>
        <w:pStyle w:val="Odstavekseznama"/>
        <w:numPr>
          <w:ilvl w:val="0"/>
          <w:numId w:val="9"/>
        </w:numPr>
        <w:rPr>
          <w:b/>
          <w:bCs/>
          <w:lang w:val="sl-SI" w:eastAsia="sl-SI"/>
        </w:rPr>
      </w:pPr>
      <w:r w:rsidRPr="008446C0">
        <w:rPr>
          <w:b/>
          <w:bCs/>
          <w:lang w:val="sl-SI" w:eastAsia="sl-SI"/>
        </w:rPr>
        <w:t>Poenostavljena potrdila o ulovu – skladnost podatkov o ulovu po plovilu</w:t>
      </w:r>
    </w:p>
    <w:p w14:paraId="7F5823DC" w14:textId="25D07373" w:rsidR="008446C0" w:rsidRPr="008446C0" w:rsidRDefault="008446C0" w:rsidP="00F476FA">
      <w:pPr>
        <w:spacing w:before="120" w:after="120"/>
        <w:jc w:val="both"/>
        <w:rPr>
          <w:lang w:val="sl-SI" w:eastAsia="sl-SI"/>
        </w:rPr>
      </w:pPr>
      <w:r>
        <w:rPr>
          <w:lang w:val="sl-SI" w:eastAsia="sl-SI"/>
        </w:rPr>
        <w:t xml:space="preserve">Pri poenostavljenem potrdilu o ulovu je potrebno navesti količino po vrstah proizvoda za vsako plovilo, ki je ulov opravilo. </w:t>
      </w:r>
      <w:r w:rsidRPr="008446C0">
        <w:rPr>
          <w:lang w:val="sl-SI" w:eastAsia="sl-SI"/>
        </w:rPr>
        <w:t>Ta zahteva ni nova in zato v sistemu CATCH ni bila uvedena nobena fleksibilnost.</w:t>
      </w:r>
      <w:r w:rsidR="00F476FA">
        <w:rPr>
          <w:lang w:val="sl-SI" w:eastAsia="sl-SI"/>
        </w:rPr>
        <w:t xml:space="preserve"> Če količina ni prikazana ločeno po posameznik plovil se zahteva preverjanje poenostavljenega potrdila pri državi zastave izdaje, da izdajo potrdilo v skladu z zahtevami EU potrjevanja potrdil o ulovu. </w:t>
      </w:r>
    </w:p>
    <w:p w14:paraId="2944E8CB" w14:textId="73376D9A" w:rsidR="00F476FA" w:rsidRPr="00C87411" w:rsidRDefault="00F476FA" w:rsidP="00F476FA">
      <w:pPr>
        <w:pStyle w:val="Navadensplet"/>
        <w:spacing w:line="300" w:lineRule="atLeast"/>
        <w:rPr>
          <w:rFonts w:ascii="Arial" w:hAnsi="Arial" w:cs="Arial"/>
          <w:sz w:val="20"/>
          <w:szCs w:val="20"/>
        </w:rPr>
      </w:pPr>
      <w:r w:rsidRPr="00C87411">
        <w:rPr>
          <w:rStyle w:val="Krepko"/>
          <w:rFonts w:ascii="Arial" w:hAnsi="Arial" w:cs="Arial"/>
          <w:sz w:val="20"/>
          <w:szCs w:val="20"/>
        </w:rPr>
        <w:t>2) Neposredni iztovori plovil iz tretjih držav pristaniščih EU</w:t>
      </w:r>
    </w:p>
    <w:p w14:paraId="55E0435F" w14:textId="77777777" w:rsidR="00F476FA" w:rsidRPr="00C87411" w:rsidRDefault="00F476FA" w:rsidP="002106F2">
      <w:pPr>
        <w:jc w:val="both"/>
        <w:rPr>
          <w:rFonts w:cs="Arial"/>
          <w:b/>
          <w:bCs/>
          <w:szCs w:val="20"/>
          <w:lang w:val="sl-SI"/>
        </w:rPr>
      </w:pPr>
      <w:r w:rsidRPr="00C87411">
        <w:rPr>
          <w:rFonts w:cs="Arial"/>
          <w:b/>
          <w:bCs/>
          <w:szCs w:val="20"/>
          <w:lang w:val="sl-SI"/>
        </w:rPr>
        <w:t>a) Pred iztovorom v pristanišču EU</w:t>
      </w:r>
    </w:p>
    <w:p w14:paraId="68E2A92D" w14:textId="77777777" w:rsidR="00C0383E" w:rsidRPr="00C87411" w:rsidRDefault="00F476FA" w:rsidP="002106F2">
      <w:pPr>
        <w:spacing w:before="120" w:after="120"/>
        <w:jc w:val="both"/>
        <w:rPr>
          <w:rFonts w:cs="Arial"/>
          <w:szCs w:val="20"/>
          <w:lang w:val="sl-SI"/>
        </w:rPr>
      </w:pPr>
      <w:r w:rsidRPr="00C87411">
        <w:rPr>
          <w:rFonts w:cs="Arial"/>
          <w:szCs w:val="20"/>
          <w:lang w:val="sl-SI"/>
        </w:rPr>
        <w:t xml:space="preserve">V skladu s členom 6 uredbe št. 1005/2008 je za posredovanje potrdila o ulovu pristojnim pristaniškim organom za izvajanje inšpekcij v pristanišču, skupaj z ocenjeno količino iztovorjenega ulova, odgovoren kapitan ribiškega plovila ali njegov zastopnik. Predhodni prihod v pristanišče mora namreč biti »spremljan s potrdilom o ulovu, potrjenim v skladu s poglavjem III, če ribiško plovilo tretje države prevaža ribiške proizvode«. Zato mora </w:t>
      </w:r>
      <w:r w:rsidR="00C0383E" w:rsidRPr="00C87411">
        <w:rPr>
          <w:rFonts w:cs="Arial"/>
          <w:szCs w:val="20"/>
          <w:lang w:val="sl-SI"/>
        </w:rPr>
        <w:t xml:space="preserve">kapitan </w:t>
      </w:r>
      <w:r w:rsidRPr="00C87411">
        <w:rPr>
          <w:rFonts w:cs="Arial"/>
          <w:szCs w:val="20"/>
          <w:lang w:val="sl-SI"/>
        </w:rPr>
        <w:t xml:space="preserve">plovila tretje države ali njegov zastopnik to potrdilo o ulovu posredovati </w:t>
      </w:r>
      <w:r w:rsidR="00C0383E" w:rsidRPr="00C87411">
        <w:rPr>
          <w:rFonts w:cs="Arial"/>
          <w:szCs w:val="20"/>
          <w:lang w:val="sl-SI"/>
        </w:rPr>
        <w:t xml:space="preserve">pristojnim organom države članice. </w:t>
      </w:r>
    </w:p>
    <w:p w14:paraId="76B230FE" w14:textId="46925EFA" w:rsidR="00F476FA" w:rsidRPr="00C87411" w:rsidRDefault="00F476FA" w:rsidP="002106F2">
      <w:pPr>
        <w:spacing w:before="120" w:after="120"/>
        <w:jc w:val="both"/>
        <w:rPr>
          <w:rFonts w:cs="Arial"/>
          <w:szCs w:val="20"/>
          <w:lang w:val="sl-SI"/>
        </w:rPr>
      </w:pPr>
      <w:r w:rsidRPr="00C87411">
        <w:rPr>
          <w:rFonts w:cs="Arial"/>
          <w:szCs w:val="20"/>
          <w:lang w:val="sl-SI"/>
        </w:rPr>
        <w:t>Ta postopek se uporablja tudi za plovila tretjih držav, za katera je bila vzpostavljena interoperabilnost med sistemom CATCH in informacijskim sistemom države zastave. Potrdila o ulovu z ocenjeno količino iztovorjenega ulova ni mogoče predložiti v sistem CATCH pristojnim organom držav</w:t>
      </w:r>
      <w:r w:rsidR="00C0383E" w:rsidRPr="00C87411">
        <w:rPr>
          <w:rFonts w:cs="Arial"/>
          <w:szCs w:val="20"/>
          <w:lang w:val="sl-SI"/>
        </w:rPr>
        <w:t>e</w:t>
      </w:r>
      <w:r w:rsidRPr="00C87411">
        <w:rPr>
          <w:rFonts w:cs="Arial"/>
          <w:szCs w:val="20"/>
          <w:lang w:val="sl-SI"/>
        </w:rPr>
        <w:t xml:space="preserve"> članic</w:t>
      </w:r>
      <w:r w:rsidR="00C0383E" w:rsidRPr="00C87411">
        <w:rPr>
          <w:rFonts w:cs="Arial"/>
          <w:szCs w:val="20"/>
          <w:lang w:val="sl-SI"/>
        </w:rPr>
        <w:t>e</w:t>
      </w:r>
      <w:r w:rsidRPr="00C87411">
        <w:rPr>
          <w:rFonts w:cs="Arial"/>
          <w:szCs w:val="20"/>
          <w:lang w:val="sl-SI"/>
        </w:rPr>
        <w:t xml:space="preserve"> odgovorn</w:t>
      </w:r>
      <w:r w:rsidR="00C0383E" w:rsidRPr="00C87411">
        <w:rPr>
          <w:rFonts w:cs="Arial"/>
          <w:szCs w:val="20"/>
          <w:lang w:val="sl-SI"/>
        </w:rPr>
        <w:t>e</w:t>
      </w:r>
      <w:r w:rsidRPr="00C87411">
        <w:rPr>
          <w:rFonts w:cs="Arial"/>
          <w:szCs w:val="20"/>
          <w:lang w:val="sl-SI"/>
        </w:rPr>
        <w:t xml:space="preserve"> za odobritev uvoza.</w:t>
      </w:r>
    </w:p>
    <w:p w14:paraId="24DAE3E4" w14:textId="77777777" w:rsidR="00D61D34" w:rsidRPr="00C87411" w:rsidRDefault="00D61D34" w:rsidP="002106F2">
      <w:pPr>
        <w:spacing w:before="120" w:after="120"/>
        <w:jc w:val="both"/>
        <w:rPr>
          <w:rFonts w:cs="Arial"/>
          <w:b/>
          <w:bCs/>
          <w:szCs w:val="20"/>
          <w:lang w:val="sl-SI"/>
        </w:rPr>
      </w:pPr>
      <w:r w:rsidRPr="00C87411">
        <w:rPr>
          <w:rFonts w:cs="Arial"/>
          <w:b/>
          <w:bCs/>
          <w:szCs w:val="20"/>
          <w:lang w:val="sl-SI"/>
        </w:rPr>
        <w:t>b) Po iztovoru in tehtanju ribiških proizvodov</w:t>
      </w:r>
    </w:p>
    <w:p w14:paraId="48CCFB19" w14:textId="77777777" w:rsidR="00ED6C51" w:rsidRPr="00C87411" w:rsidRDefault="00D61D34" w:rsidP="002106F2">
      <w:pPr>
        <w:spacing w:before="120" w:after="120"/>
        <w:jc w:val="both"/>
        <w:rPr>
          <w:rFonts w:cs="Arial"/>
          <w:szCs w:val="20"/>
          <w:lang w:val="sl-SI" w:eastAsia="sl-SI"/>
        </w:rPr>
      </w:pPr>
      <w:r w:rsidRPr="00C87411">
        <w:rPr>
          <w:rFonts w:cs="Arial"/>
          <w:szCs w:val="20"/>
          <w:lang w:val="sl-SI"/>
        </w:rPr>
        <w:t xml:space="preserve">Uvoznik predloži izjavo uvoznika (IM) pristojnim organom države članice na podlagi novega potrdila o ulovu z navedeno neto težo v sistemu CATCH. </w:t>
      </w:r>
      <w:r w:rsidR="00ED6C51" w:rsidRPr="00C87411">
        <w:rPr>
          <w:rFonts w:cs="Arial"/>
          <w:szCs w:val="20"/>
          <w:lang w:val="sl-SI" w:eastAsia="sl-SI"/>
        </w:rPr>
        <w:t>Uvoznik je lahko kupec blaga ali pa dražba, prek katere se ribiški proizvodi prodajo.</w:t>
      </w:r>
    </w:p>
    <w:p w14:paraId="6058E909" w14:textId="77777777" w:rsidR="00ED6C51" w:rsidRPr="00C87411" w:rsidRDefault="00ED6C51" w:rsidP="002106F2">
      <w:pPr>
        <w:spacing w:before="120"/>
        <w:jc w:val="both"/>
        <w:rPr>
          <w:rFonts w:cs="Arial"/>
          <w:b/>
          <w:bCs/>
          <w:szCs w:val="20"/>
          <w:lang w:val="sl-SI"/>
        </w:rPr>
      </w:pPr>
      <w:r w:rsidRPr="00C87411">
        <w:rPr>
          <w:rFonts w:cs="Arial"/>
          <w:b/>
          <w:bCs/>
          <w:szCs w:val="20"/>
          <w:lang w:val="sl-SI"/>
        </w:rPr>
        <w:t>c) Če se ribiški proizvodi iztovorijo zgolj zaradi tranzita (niso namenjeni uvozu v EU)</w:t>
      </w:r>
    </w:p>
    <w:p w14:paraId="4DF0DEED" w14:textId="77777777" w:rsidR="00ED6C51" w:rsidRPr="00C87411" w:rsidRDefault="00ED6C51" w:rsidP="002106F2">
      <w:pPr>
        <w:spacing w:before="120"/>
        <w:jc w:val="both"/>
        <w:rPr>
          <w:rFonts w:cs="Arial"/>
          <w:szCs w:val="20"/>
          <w:lang w:val="sl-SI"/>
        </w:rPr>
      </w:pPr>
      <w:r w:rsidRPr="00C87411">
        <w:rPr>
          <w:rFonts w:cs="Arial"/>
          <w:szCs w:val="20"/>
          <w:lang w:val="sl-SI"/>
        </w:rPr>
        <w:lastRenderedPageBreak/>
        <w:t>V tem primeru se uporablja samo zgoraj navedena točka a). V skladu z IUU uredbo ni treba predložiti nobene dodatne dokumentacije.</w:t>
      </w:r>
    </w:p>
    <w:p w14:paraId="4F098FFE" w14:textId="77777777" w:rsidR="002106F2" w:rsidRPr="00C87411" w:rsidRDefault="002106F2" w:rsidP="002106F2">
      <w:pPr>
        <w:rPr>
          <w:rFonts w:cs="Arial"/>
          <w:szCs w:val="20"/>
          <w:lang w:val="pl-PL"/>
        </w:rPr>
      </w:pPr>
    </w:p>
    <w:p w14:paraId="187FFA6D" w14:textId="3B15D141" w:rsidR="002106F2" w:rsidRPr="00A42FBC" w:rsidRDefault="002106F2" w:rsidP="002106F2">
      <w:pPr>
        <w:spacing w:before="120"/>
        <w:rPr>
          <w:b/>
          <w:bCs/>
          <w:lang w:val="sl-SI"/>
        </w:rPr>
      </w:pPr>
      <w:r w:rsidRPr="00A42FBC">
        <w:rPr>
          <w:b/>
          <w:bCs/>
          <w:lang w:val="sl-SI"/>
        </w:rPr>
        <w:t xml:space="preserve">3) SANTE Helpdesk </w:t>
      </w:r>
    </w:p>
    <w:p w14:paraId="76AF012D" w14:textId="39BB9F59" w:rsidR="002106F2" w:rsidRPr="002106F2" w:rsidRDefault="002106F2" w:rsidP="00A42FBC">
      <w:pPr>
        <w:spacing w:before="120"/>
        <w:rPr>
          <w:rFonts w:ascii="Segoe UI" w:hAnsi="Segoe UI" w:cs="Segoe UI"/>
          <w:sz w:val="21"/>
          <w:szCs w:val="21"/>
          <w:lang w:val="sl-SI" w:eastAsia="sl-SI"/>
        </w:rPr>
      </w:pPr>
      <w:r w:rsidRPr="00A42FBC">
        <w:rPr>
          <w:lang w:val="sl-SI"/>
        </w:rPr>
        <w:t xml:space="preserve">Od 10. januarja </w:t>
      </w:r>
      <w:r w:rsidR="00A42FBC" w:rsidRPr="00A42FBC">
        <w:rPr>
          <w:lang w:val="sl-SI"/>
        </w:rPr>
        <w:t xml:space="preserve">2026 dalje je </w:t>
      </w:r>
      <w:r w:rsidRPr="00A42FBC">
        <w:rPr>
          <w:lang w:val="sl-SI"/>
        </w:rPr>
        <w:t xml:space="preserve"> SANTE Helpdesk </w:t>
      </w:r>
      <w:r w:rsidR="00A42FBC" w:rsidRPr="00A42FBC">
        <w:rPr>
          <w:lang w:val="sl-SI"/>
        </w:rPr>
        <w:t xml:space="preserve">na razpolago za </w:t>
      </w:r>
      <w:r w:rsidRPr="00A42FBC">
        <w:rPr>
          <w:lang w:val="sl-SI"/>
        </w:rPr>
        <w:t>odgovo</w:t>
      </w:r>
      <w:r w:rsidR="00A42FBC" w:rsidRPr="00A42FBC">
        <w:rPr>
          <w:lang w:val="sl-SI"/>
        </w:rPr>
        <w:t xml:space="preserve">re in </w:t>
      </w:r>
      <w:r w:rsidRPr="00A42FBC">
        <w:rPr>
          <w:lang w:val="sl-SI"/>
        </w:rPr>
        <w:t xml:space="preserve">vprašanja operaterjev ali pristojnih organov držav članic </w:t>
      </w:r>
      <w:r w:rsidRPr="002106F2">
        <w:rPr>
          <w:rFonts w:ascii="Segoe UI" w:hAnsi="Segoe UI" w:cs="Segoe UI"/>
          <w:sz w:val="21"/>
          <w:szCs w:val="21"/>
          <w:lang w:val="sl-SI" w:eastAsia="sl-SI"/>
        </w:rPr>
        <w:t>izključno ob delovnih dneh in v času rednega delovnega časa.</w:t>
      </w:r>
    </w:p>
    <w:p w14:paraId="2C1CEB16" w14:textId="77777777" w:rsidR="008446C0" w:rsidRPr="008446C0" w:rsidRDefault="008446C0" w:rsidP="008446C0">
      <w:pPr>
        <w:spacing w:before="120" w:after="120"/>
        <w:jc w:val="both"/>
        <w:rPr>
          <w:rFonts w:eastAsia="Aptos" w:cs="Arial"/>
          <w:b/>
          <w:bCs/>
          <w:kern w:val="2"/>
          <w:szCs w:val="20"/>
          <w:u w:val="single"/>
          <w:lang w:val="sl-SI"/>
          <w14:ligatures w14:val="standardContextual"/>
        </w:rPr>
      </w:pPr>
    </w:p>
    <w:p w14:paraId="0CEBC55B" w14:textId="05015C70" w:rsidR="008446C0" w:rsidRPr="008446C0" w:rsidRDefault="008446C0" w:rsidP="00EF4B31">
      <w:pPr>
        <w:spacing w:before="120" w:after="120"/>
        <w:jc w:val="both"/>
        <w:rPr>
          <w:rFonts w:eastAsia="Aptos" w:cs="Arial"/>
          <w:b/>
          <w:bCs/>
          <w:kern w:val="2"/>
          <w:szCs w:val="20"/>
          <w:u w:val="single"/>
          <w:lang w:val="sl-SI"/>
          <w14:ligatures w14:val="standardContextual"/>
        </w:rPr>
      </w:pPr>
      <w:r w:rsidRPr="008446C0">
        <w:rPr>
          <w:rFonts w:eastAsia="Aptos" w:cs="Arial"/>
          <w:b/>
          <w:bCs/>
          <w:kern w:val="2"/>
          <w:szCs w:val="20"/>
          <w:u w:val="single"/>
          <w:lang w:val="sl-SI"/>
          <w14:ligatures w14:val="standardContextual"/>
        </w:rPr>
        <w:t>Obvestilo Komisije z dne 9. 1. 2026</w:t>
      </w:r>
    </w:p>
    <w:p w14:paraId="29A3E771" w14:textId="194BD309" w:rsidR="00EF4B31" w:rsidRPr="00EF4B31" w:rsidRDefault="00C40DFC" w:rsidP="00EF4B31">
      <w:pPr>
        <w:spacing w:before="120" w:after="120"/>
        <w:jc w:val="both"/>
        <w:rPr>
          <w:rFonts w:eastAsia="Aptos" w:cs="Arial"/>
          <w:kern w:val="2"/>
          <w:szCs w:val="20"/>
          <w:lang w:val="sl-SI"/>
          <w14:ligatures w14:val="standardContextual"/>
        </w:rPr>
      </w:pPr>
      <w:r>
        <w:rPr>
          <w:rFonts w:eastAsia="Aptos" w:cs="Arial"/>
          <w:kern w:val="2"/>
          <w:szCs w:val="20"/>
          <w:lang w:val="sl-SI"/>
          <w14:ligatures w14:val="standardContextual"/>
        </w:rPr>
        <w:t xml:space="preserve">Komisija </w:t>
      </w:r>
      <w:r w:rsidRPr="00EF4B31">
        <w:rPr>
          <w:rFonts w:eastAsia="Aptos" w:cs="Arial"/>
          <w:kern w:val="2"/>
          <w:szCs w:val="20"/>
          <w:lang w:val="sl-SI"/>
          <w14:ligatures w14:val="standardContextual"/>
        </w:rPr>
        <w:t xml:space="preserve">je sporočila, da je seznanjena z izjavami, pismi ali elektronskimi sporočili, ki so jih pristojni organi nekaterih držav članic poslali z zahtevo po odložitvi začetka uporabe sistema CATCH. </w:t>
      </w:r>
    </w:p>
    <w:p w14:paraId="0FF2A402" w14:textId="77777777" w:rsidR="00EF4B31" w:rsidRPr="00C40DFC" w:rsidRDefault="00000000" w:rsidP="00EF4B31">
      <w:pPr>
        <w:spacing w:before="120" w:after="120"/>
        <w:jc w:val="both"/>
        <w:rPr>
          <w:rFonts w:eastAsia="Aptos" w:cs="Arial"/>
          <w:kern w:val="2"/>
          <w:szCs w:val="20"/>
          <w:u w:val="single"/>
          <w:lang w:val="sl-SI"/>
          <w14:ligatures w14:val="standardContextual"/>
        </w:rPr>
      </w:pPr>
      <w:r w:rsidRPr="00EF4B31">
        <w:rPr>
          <w:rFonts w:eastAsia="Aptos" w:cs="Arial"/>
          <w:kern w:val="2"/>
          <w:szCs w:val="20"/>
          <w:lang w:val="sl-SI"/>
          <w14:ligatures w14:val="standardContextual"/>
        </w:rPr>
        <w:t>V skladu z uredbo</w:t>
      </w:r>
      <w:r w:rsidR="00160BFE">
        <w:rPr>
          <w:rFonts w:eastAsia="Aptos" w:cs="Arial"/>
          <w:kern w:val="2"/>
          <w:szCs w:val="20"/>
          <w:lang w:val="sl-SI"/>
          <w14:ligatures w14:val="standardContextual"/>
        </w:rPr>
        <w:t xml:space="preserve"> EU</w:t>
      </w:r>
      <w:r w:rsidRPr="00EF4B31">
        <w:rPr>
          <w:rFonts w:eastAsia="Aptos" w:cs="Arial"/>
          <w:kern w:val="2"/>
          <w:szCs w:val="20"/>
          <w:lang w:val="sl-SI"/>
          <w14:ligatures w14:val="standardContextual"/>
        </w:rPr>
        <w:t xml:space="preserve"> 2023/2842</w:t>
      </w:r>
      <w:r w:rsidR="00160BFE">
        <w:rPr>
          <w:rFonts w:eastAsia="Aptos" w:cs="Arial"/>
          <w:kern w:val="2"/>
          <w:szCs w:val="20"/>
          <w:lang w:val="sl-SI"/>
          <w14:ligatures w14:val="standardContextual"/>
        </w:rPr>
        <w:t>,</w:t>
      </w:r>
      <w:r w:rsidRPr="00EF4B31">
        <w:rPr>
          <w:rFonts w:eastAsia="Aptos" w:cs="Arial"/>
          <w:kern w:val="2"/>
          <w:szCs w:val="20"/>
          <w:lang w:val="sl-SI"/>
          <w14:ligatures w14:val="standardContextual"/>
        </w:rPr>
        <w:t xml:space="preserve"> ki so jo sprejeli sozakonodajalci (Svet in Evropski parlament), </w:t>
      </w:r>
      <w:r w:rsidRPr="00A40122">
        <w:rPr>
          <w:rFonts w:eastAsia="Aptos" w:cs="Arial"/>
          <w:kern w:val="2"/>
          <w:szCs w:val="20"/>
          <w:u w:val="single"/>
          <w:lang w:val="sl-SI"/>
          <w14:ligatures w14:val="standardContextual"/>
        </w:rPr>
        <w:t>je uporaba sistema CATCH obvezna od 10. januarja 2026</w:t>
      </w:r>
      <w:r w:rsidRPr="00EF4B31">
        <w:rPr>
          <w:rFonts w:eastAsia="Aptos" w:cs="Arial"/>
          <w:kern w:val="2"/>
          <w:szCs w:val="20"/>
          <w:lang w:val="sl-SI"/>
          <w14:ligatures w14:val="standardContextual"/>
        </w:rPr>
        <w:t xml:space="preserve">. Komisija je poskrbela, da je sistem CATCH pripravljen za uporabo, da bo izpolnil zakonsko zahtevo. </w:t>
      </w:r>
      <w:r w:rsidRPr="00C40DFC">
        <w:rPr>
          <w:rFonts w:eastAsia="Aptos" w:cs="Arial"/>
          <w:kern w:val="2"/>
          <w:szCs w:val="20"/>
          <w:u w:val="single"/>
          <w:lang w:val="sl-SI"/>
          <w14:ligatures w14:val="standardContextual"/>
        </w:rPr>
        <w:t xml:space="preserve">Zato morajo biti od </w:t>
      </w:r>
      <w:r w:rsidR="00160BFE" w:rsidRPr="00C40DFC">
        <w:rPr>
          <w:rFonts w:eastAsia="Aptos" w:cs="Arial"/>
          <w:kern w:val="2"/>
          <w:szCs w:val="20"/>
          <w:u w:val="single"/>
          <w:lang w:val="sl-SI"/>
          <w14:ligatures w14:val="standardContextual"/>
        </w:rPr>
        <w:t>10. 1. 2026</w:t>
      </w:r>
      <w:r w:rsidRPr="00C40DFC">
        <w:rPr>
          <w:rFonts w:eastAsia="Aptos" w:cs="Arial"/>
          <w:kern w:val="2"/>
          <w:szCs w:val="20"/>
          <w:u w:val="single"/>
          <w:lang w:val="sl-SI"/>
          <w14:ligatures w14:val="standardContextual"/>
        </w:rPr>
        <w:t xml:space="preserve"> vsi dokumenti, ki se zahtevajo v okviru sistema potrdil o ulovu, predloženi preko sistema CATCH, ne glede na datum prihoda pošiljk, datum potrditve dokumentov ali datum prejema dokumentov s strani gospodarskih subjektov. </w:t>
      </w:r>
    </w:p>
    <w:p w14:paraId="6A8A9EEA" w14:textId="77777777" w:rsidR="00EF4B31" w:rsidRPr="00EF4B31" w:rsidRDefault="00000000" w:rsidP="00EF4B31">
      <w:pPr>
        <w:pStyle w:val="Slog1"/>
      </w:pPr>
      <w:r w:rsidRPr="00EF4B31">
        <w:t xml:space="preserve">Uvedene pa so nekatere prilagoditve in sicer: </w:t>
      </w:r>
    </w:p>
    <w:p w14:paraId="7C2E7410" w14:textId="16C15BB8" w:rsidR="00EF4B31" w:rsidRDefault="00000000" w:rsidP="00EF4B31">
      <w:pPr>
        <w:numPr>
          <w:ilvl w:val="0"/>
          <w:numId w:val="6"/>
        </w:numPr>
        <w:spacing w:before="120" w:after="120"/>
        <w:contextualSpacing/>
        <w:jc w:val="both"/>
        <w:rPr>
          <w:rFonts w:eastAsia="Aptos" w:cs="Arial"/>
          <w:kern w:val="2"/>
          <w:szCs w:val="20"/>
          <w:lang w:val="sl-SI"/>
          <w14:ligatures w14:val="standardContextual"/>
        </w:rPr>
      </w:pPr>
      <w:r w:rsidRPr="00C40DFC">
        <w:rPr>
          <w:rFonts w:eastAsia="Aptos" w:cs="Arial"/>
          <w:kern w:val="2"/>
          <w:szCs w:val="20"/>
          <w:u w:val="single"/>
          <w:lang w:val="sl-SI"/>
          <w14:ligatures w14:val="standardContextual"/>
        </w:rPr>
        <w:t>Za tri nova podatkovna polja bo sistem CATCH uveden s prehodnim obdobjem 6 mesecev</w:t>
      </w:r>
      <w:r w:rsidRPr="00C40DFC">
        <w:rPr>
          <w:rFonts w:eastAsia="Aptos" w:cs="Arial"/>
          <w:kern w:val="2"/>
          <w:szCs w:val="20"/>
          <w:lang w:val="sl-SI"/>
          <w14:ligatures w14:val="standardContextual"/>
        </w:rPr>
        <w:t xml:space="preserve">. To so podatkovna polja: ribolovno orodje, razširjene informacije o območju ulova in podpis imetnika ribolovnega dovoljenja. To pomeni, da odsotnost teh treh podatkov ne bo preprečila uvozniku predložitve potrdila o ulovu pristojnemu organu preko sistema CATCH. Konkretno to pomeni, da bo predložitev potrdila o ulovu še vedno mogoča, čeprav bodo manjkali podatki o ribolovnem orodju, podrobnejši podatki o območju ulova in podpis kapitana/imetnika dovoljenja. Uvozniku bo prikazano opozorilo, pristojni organ pa bo prejel opozorilo. </w:t>
      </w:r>
    </w:p>
    <w:p w14:paraId="04FBF8C5" w14:textId="77777777" w:rsidR="00C40DFC" w:rsidRDefault="00C40DFC" w:rsidP="00C40DFC">
      <w:pPr>
        <w:spacing w:before="120" w:after="120"/>
        <w:contextualSpacing/>
        <w:jc w:val="both"/>
        <w:rPr>
          <w:rFonts w:eastAsia="Aptos" w:cs="Arial"/>
          <w:kern w:val="2"/>
          <w:szCs w:val="20"/>
          <w:lang w:val="sl-SI"/>
          <w14:ligatures w14:val="standardContextual"/>
        </w:rPr>
      </w:pPr>
    </w:p>
    <w:p w14:paraId="1D278D9D" w14:textId="65FE0501" w:rsidR="00EF4B31" w:rsidRPr="00A40122" w:rsidRDefault="00000000" w:rsidP="00EF4B31">
      <w:pPr>
        <w:numPr>
          <w:ilvl w:val="0"/>
          <w:numId w:val="6"/>
        </w:numPr>
        <w:spacing w:before="120" w:after="120"/>
        <w:ind w:left="357" w:hanging="357"/>
        <w:contextualSpacing/>
        <w:jc w:val="both"/>
        <w:rPr>
          <w:rFonts w:eastAsia="Aptos" w:cs="Arial"/>
          <w:kern w:val="2"/>
          <w:szCs w:val="20"/>
          <w:lang w:val="sl-SI"/>
          <w14:ligatures w14:val="standardContextual"/>
        </w:rPr>
      </w:pPr>
      <w:r w:rsidRPr="00A40122">
        <w:rPr>
          <w:rFonts w:eastAsia="Aptos" w:cs="Arial"/>
          <w:kern w:val="2"/>
          <w:szCs w:val="20"/>
          <w:u w:val="single"/>
          <w:lang w:val="sl-SI"/>
          <w14:ligatures w14:val="standardContextual"/>
        </w:rPr>
        <w:t>Uvedba</w:t>
      </w:r>
      <w:r w:rsidRPr="00C40DFC">
        <w:rPr>
          <w:rFonts w:eastAsia="Aptos" w:cs="Arial"/>
          <w:kern w:val="2"/>
          <w:szCs w:val="20"/>
          <w:u w:val="single"/>
          <w:lang w:val="sl-SI"/>
          <w14:ligatures w14:val="standardContextual"/>
        </w:rPr>
        <w:t xml:space="preserve"> izjave o predelavi za proizvode, ki so ulovljeni in predelani v isti državi zastave je nova zahteva za vse priglašene države, ki niso članice EU</w:t>
      </w:r>
      <w:r w:rsidRPr="00EF4B31">
        <w:rPr>
          <w:rFonts w:eastAsia="Aptos" w:cs="Arial"/>
          <w:kern w:val="2"/>
          <w:szCs w:val="20"/>
          <w:lang w:val="sl-SI"/>
          <w14:ligatures w14:val="standardContextual"/>
        </w:rPr>
        <w:t>. Komisija kljub njenim prizadevanjem</w:t>
      </w:r>
      <w:r w:rsidR="00C40DFC">
        <w:rPr>
          <w:rFonts w:eastAsia="Aptos" w:cs="Arial"/>
          <w:kern w:val="2"/>
          <w:szCs w:val="20"/>
          <w:lang w:val="sl-SI"/>
          <w14:ligatures w14:val="standardContextual"/>
        </w:rPr>
        <w:t>, m</w:t>
      </w:r>
      <w:r w:rsidRPr="00EF4B31">
        <w:rPr>
          <w:rFonts w:eastAsia="Aptos" w:cs="Arial"/>
          <w:kern w:val="2"/>
          <w:szCs w:val="20"/>
          <w:lang w:val="sl-SI"/>
          <w14:ligatures w14:val="standardContextual"/>
        </w:rPr>
        <w:t xml:space="preserve">eni, da mnoge države še niso seznanjene s tem novim pravilom. </w:t>
      </w:r>
      <w:r w:rsidRPr="00A40122">
        <w:rPr>
          <w:rFonts w:eastAsia="Aptos" w:cs="Arial"/>
          <w:kern w:val="2"/>
          <w:szCs w:val="20"/>
          <w:lang w:val="sl-SI"/>
          <w14:ligatures w14:val="standardContextual"/>
        </w:rPr>
        <w:t xml:space="preserve">To pomeni, da bo </w:t>
      </w:r>
      <w:r w:rsidR="00C40DFC" w:rsidRPr="00A40122">
        <w:rPr>
          <w:rFonts w:eastAsia="Aptos" w:cs="Arial"/>
          <w:kern w:val="2"/>
          <w:szCs w:val="20"/>
          <w:lang w:val="sl-SI"/>
          <w14:ligatures w14:val="standardContextual"/>
        </w:rPr>
        <w:t xml:space="preserve">uvoznik </w:t>
      </w:r>
      <w:r w:rsidRPr="00A40122">
        <w:rPr>
          <w:rFonts w:eastAsia="Aptos" w:cs="Arial"/>
          <w:kern w:val="2"/>
          <w:szCs w:val="20"/>
          <w:lang w:val="sl-SI"/>
          <w14:ligatures w14:val="standardContextual"/>
        </w:rPr>
        <w:t>lahko prejel potrdil</w:t>
      </w:r>
      <w:r w:rsidR="00C40DFC" w:rsidRPr="00A40122">
        <w:rPr>
          <w:rFonts w:eastAsia="Aptos" w:cs="Arial"/>
          <w:kern w:val="2"/>
          <w:szCs w:val="20"/>
          <w:lang w:val="sl-SI"/>
          <w14:ligatures w14:val="standardContextual"/>
        </w:rPr>
        <w:t>o</w:t>
      </w:r>
      <w:r w:rsidRPr="00A40122">
        <w:rPr>
          <w:rFonts w:eastAsia="Aptos" w:cs="Arial"/>
          <w:kern w:val="2"/>
          <w:szCs w:val="20"/>
          <w:lang w:val="sl-SI"/>
          <w14:ligatures w14:val="standardContextual"/>
        </w:rPr>
        <w:t xml:space="preserve"> o ulovu za predelane proizvode brez priložene izjave o predelavi. </w:t>
      </w:r>
      <w:r w:rsidR="00C40DFC" w:rsidRPr="00A40122">
        <w:rPr>
          <w:rFonts w:eastAsia="Aptos" w:cs="Arial"/>
          <w:kern w:val="2"/>
          <w:szCs w:val="20"/>
          <w:lang w:val="sl-SI"/>
          <w14:ligatures w14:val="standardContextual"/>
        </w:rPr>
        <w:t>Pristojni organi bodo ob pojavu navedenega kontaktirali z</w:t>
      </w:r>
      <w:r w:rsidRPr="00A40122">
        <w:rPr>
          <w:rFonts w:eastAsia="Aptos" w:cs="Arial"/>
          <w:kern w:val="2"/>
          <w:szCs w:val="20"/>
          <w:lang w:val="sl-SI"/>
          <w14:ligatures w14:val="standardContextual"/>
        </w:rPr>
        <w:t>adevno državo, ki ni članica EU, da je izjava o predelavi potrebna pri naslednjem izvozu</w:t>
      </w:r>
      <w:r w:rsidR="00A40122">
        <w:rPr>
          <w:rFonts w:eastAsia="Aptos" w:cs="Arial"/>
          <w:kern w:val="2"/>
          <w:szCs w:val="20"/>
          <w:lang w:val="sl-SI"/>
          <w14:ligatures w14:val="standardContextual"/>
        </w:rPr>
        <w:t xml:space="preserve"> oz. uvozu v EU</w:t>
      </w:r>
      <w:r w:rsidR="008446C0">
        <w:rPr>
          <w:rFonts w:eastAsia="Aptos" w:cs="Arial"/>
          <w:kern w:val="2"/>
          <w:szCs w:val="20"/>
          <w:lang w:val="sl-SI"/>
          <w14:ligatures w14:val="standardContextual"/>
        </w:rPr>
        <w:t xml:space="preserve">, uvoz pa se izjemoma prepusti. </w:t>
      </w:r>
      <w:r w:rsidRPr="00A40122">
        <w:rPr>
          <w:rFonts w:eastAsia="Aptos" w:cs="Arial"/>
          <w:kern w:val="2"/>
          <w:szCs w:val="20"/>
          <w:lang w:val="sl-SI"/>
          <w14:ligatures w14:val="standardContextual"/>
        </w:rPr>
        <w:t>Ta prožnost (odlog) velja za vse države, ki niso članice EU</w:t>
      </w:r>
      <w:r w:rsidR="00A40122">
        <w:rPr>
          <w:rFonts w:eastAsia="Aptos" w:cs="Arial"/>
          <w:kern w:val="2"/>
          <w:szCs w:val="20"/>
          <w:lang w:val="sl-SI"/>
          <w14:ligatures w14:val="standardContextual"/>
        </w:rPr>
        <w:t xml:space="preserve"> </w:t>
      </w:r>
      <w:r w:rsidRPr="00A40122">
        <w:rPr>
          <w:rFonts w:eastAsia="Aptos" w:cs="Arial"/>
          <w:kern w:val="2"/>
          <w:szCs w:val="20"/>
          <w:lang w:val="sl-SI"/>
          <w14:ligatures w14:val="standardContextual"/>
        </w:rPr>
        <w:t xml:space="preserve">in je časovno omejena, da </w:t>
      </w:r>
      <w:r w:rsidR="008446C0">
        <w:rPr>
          <w:rFonts w:eastAsia="Aptos" w:cs="Arial"/>
          <w:kern w:val="2"/>
          <w:szCs w:val="20"/>
          <w:lang w:val="sl-SI"/>
          <w14:ligatures w14:val="standardContextual"/>
        </w:rPr>
        <w:t xml:space="preserve">se </w:t>
      </w:r>
      <w:r w:rsidRPr="00A40122">
        <w:rPr>
          <w:rFonts w:eastAsia="Aptos" w:cs="Arial"/>
          <w:kern w:val="2"/>
          <w:szCs w:val="20"/>
          <w:lang w:val="sl-SI"/>
          <w14:ligatures w14:val="standardContextual"/>
        </w:rPr>
        <w:t>ne</w:t>
      </w:r>
      <w:r w:rsidR="008446C0">
        <w:rPr>
          <w:rFonts w:eastAsia="Aptos" w:cs="Arial"/>
          <w:kern w:val="2"/>
          <w:szCs w:val="20"/>
          <w:lang w:val="sl-SI"/>
          <w14:ligatures w14:val="standardContextual"/>
        </w:rPr>
        <w:t xml:space="preserve"> </w:t>
      </w:r>
      <w:r w:rsidRPr="00A40122">
        <w:rPr>
          <w:rFonts w:eastAsia="Aptos" w:cs="Arial"/>
          <w:kern w:val="2"/>
          <w:szCs w:val="20"/>
          <w:lang w:val="sl-SI"/>
          <w14:ligatures w14:val="standardContextual"/>
        </w:rPr>
        <w:t>ogrozi ciljev sistema CATCH, ampak zagotovili, da trgovinski tokovi v prvih mesecih leta 2026 ne bodo blokirani.</w:t>
      </w:r>
    </w:p>
    <w:p w14:paraId="117086FF" w14:textId="77777777" w:rsidR="00EF4B31" w:rsidRPr="00EF4B31" w:rsidRDefault="00EF4B31" w:rsidP="00EF4B31">
      <w:pPr>
        <w:spacing w:before="120" w:after="120"/>
        <w:ind w:left="720"/>
        <w:contextualSpacing/>
        <w:jc w:val="both"/>
        <w:rPr>
          <w:rFonts w:eastAsia="Aptos" w:cs="Arial"/>
          <w:kern w:val="2"/>
          <w:szCs w:val="20"/>
          <w:lang w:val="sl-SI"/>
          <w14:ligatures w14:val="standardContextual"/>
        </w:rPr>
      </w:pPr>
    </w:p>
    <w:p w14:paraId="668C8215" w14:textId="77777777" w:rsidR="005E77FD" w:rsidRPr="00A40122" w:rsidRDefault="00000000" w:rsidP="00EF4B31">
      <w:pPr>
        <w:numPr>
          <w:ilvl w:val="0"/>
          <w:numId w:val="6"/>
        </w:numPr>
        <w:spacing w:before="120" w:after="120"/>
        <w:contextualSpacing/>
        <w:jc w:val="both"/>
        <w:rPr>
          <w:lang w:val="sl-SI"/>
        </w:rPr>
      </w:pPr>
      <w:r w:rsidRPr="00EF4B31">
        <w:rPr>
          <w:rFonts w:eastAsia="Aptos" w:cs="Arial"/>
          <w:kern w:val="2"/>
          <w:szCs w:val="20"/>
          <w:lang w:val="sl-SI"/>
          <w14:ligatures w14:val="standardContextual"/>
        </w:rPr>
        <w:t xml:space="preserve">Da se izogne diskriminaciji, je enak pristop ponujen tudi državam s sprejetimi administrativnimi dogovori (Kanada, Norveška, Združene države Amerike, Nova Zelandija, Islandija, Ferski otoki in Južna Afrika). To so države, ki so glede na administrativni dogovor imele drugačno obliko potrdila o ulovu, objavljena pa so bila v izvedbeni uredbi št. 1010/2009. Tem sedmim državam je dodeljeno prehodno obdobje za informacije, ki niso bile predhodno navedene v njihovih posebnih obrazcih. Dvostopenjski pristop jim bo omogočil postopno vključitev v sistem CATCH. V prvih treh mesecih po 10. januarju 2026 sistem CATCH ne bo zavračal potrdil o ulovu, izdanih v starih predlogah potrdil o ulovu. V drugem koraku bodo v dodatnem obdobju treh mesecev uživale enako prožnost kot vse druge države za nova podatkovna polja (tj. če ribolovno orodje, razširjeno območje ulova in podpis kapitana ali imetnika ribolovnega dovoljenja ne bodo izpolnjeni). </w:t>
      </w:r>
    </w:p>
    <w:p w14:paraId="376743A9" w14:textId="77777777" w:rsidR="005E77FD" w:rsidRPr="00A40122" w:rsidRDefault="005E77FD" w:rsidP="005E77FD">
      <w:pPr>
        <w:pStyle w:val="Odstavekseznama"/>
        <w:rPr>
          <w:lang w:val="sl-SI"/>
        </w:rPr>
      </w:pPr>
    </w:p>
    <w:p w14:paraId="49A7814D" w14:textId="71E12D1C" w:rsidR="00EF4B31" w:rsidRPr="005E77FD" w:rsidRDefault="00000000" w:rsidP="00EF4B31">
      <w:pPr>
        <w:numPr>
          <w:ilvl w:val="0"/>
          <w:numId w:val="6"/>
        </w:numPr>
        <w:spacing w:before="120" w:after="120"/>
        <w:contextualSpacing/>
        <w:jc w:val="both"/>
        <w:rPr>
          <w:lang w:val="sl-SI"/>
        </w:rPr>
      </w:pPr>
      <w:r w:rsidRPr="005E77FD">
        <w:rPr>
          <w:lang w:val="sl-SI"/>
        </w:rPr>
        <w:t>Komisija je že vzpostavila interoperabilnost z Norveško, Novo Zelandijo, Islandijo in Ferskimi otoki za potrdila o ulovu od 10. januarja 2026. Za Norveško in Ferske otoke ter morda tudi Islandijo bo od 10. januarja 2026 interoperabilnost tudi za njihove izjave o predelavi.</w:t>
      </w:r>
    </w:p>
    <w:p w14:paraId="3A1849E1" w14:textId="77777777" w:rsidR="00EF4B31" w:rsidRPr="00EF4B31" w:rsidRDefault="00000000" w:rsidP="00EF4B31">
      <w:pPr>
        <w:pStyle w:val="Slog1"/>
        <w:numPr>
          <w:ilvl w:val="0"/>
          <w:numId w:val="0"/>
        </w:numPr>
        <w:ind w:left="360"/>
      </w:pPr>
      <w:r w:rsidRPr="00EF4B31">
        <w:lastRenderedPageBreak/>
        <w:t xml:space="preserve"> </w:t>
      </w:r>
    </w:p>
    <w:p w14:paraId="50D70D96" w14:textId="77777777" w:rsidR="00EF4B31" w:rsidRDefault="00000000" w:rsidP="00EF4B31">
      <w:pPr>
        <w:pStyle w:val="Slog1"/>
      </w:pPr>
      <w:r w:rsidRPr="00EF4B31">
        <w:t>Kanada in Južna Afrika so svojo predlogo potrdila o ulovu prilagodile novim zahtevam EU.</w:t>
      </w:r>
    </w:p>
    <w:p w14:paraId="65310CF4" w14:textId="77777777" w:rsidR="00EF4B31" w:rsidRPr="00EF4B31" w:rsidRDefault="00EF4B31" w:rsidP="00EF4B31">
      <w:pPr>
        <w:pStyle w:val="Slog1"/>
        <w:numPr>
          <w:ilvl w:val="0"/>
          <w:numId w:val="0"/>
        </w:numPr>
      </w:pPr>
    </w:p>
    <w:p w14:paraId="25CAE833" w14:textId="77777777" w:rsidR="00EF4B31" w:rsidRPr="00EF4B31" w:rsidRDefault="00000000" w:rsidP="00EF4B31">
      <w:pPr>
        <w:pStyle w:val="Slog1"/>
      </w:pPr>
      <w:r w:rsidRPr="00EF4B31">
        <w:t>Glede zahteve za izvoz v Združeno kraljestvo, da države članice posodobijo predloge, ki se uporabljajo za izvoz ribiških proizvodov iz EU v Združeno kraljestvo, je Združeno kraljestvo potrdilo, da lahko Komisija v imenu držav članic EU zagotovi predloge, ustvarjene v sistemu CATCH. Če pa države članice želijo še naprej izdajati potrdila o ulovu in izjave o predelavi v papirni obliki za izvoz v Združeno kraljestvo, morajo te države članice same poslati posodobljene papirne predloge Združenemu kraljestvu. O navedenem morajo obvestiti Komisijo.</w:t>
      </w:r>
    </w:p>
    <w:p w14:paraId="743AB428" w14:textId="0F9B70AE" w:rsidR="00EF4B31" w:rsidRPr="00C87411" w:rsidRDefault="00000000" w:rsidP="00EF4B31">
      <w:pPr>
        <w:pStyle w:val="Odstavekseznama"/>
        <w:numPr>
          <w:ilvl w:val="0"/>
          <w:numId w:val="7"/>
        </w:numPr>
        <w:spacing w:before="120" w:after="120"/>
        <w:jc w:val="both"/>
        <w:rPr>
          <w:rFonts w:eastAsia="Aptos" w:cs="Arial"/>
          <w:kern w:val="2"/>
          <w:szCs w:val="20"/>
          <w:lang w:val="sl-SI"/>
          <w14:ligatures w14:val="standardContextual"/>
        </w:rPr>
      </w:pPr>
      <w:r w:rsidRPr="00C87411">
        <w:rPr>
          <w:rFonts w:eastAsia="Aptos" w:cs="Arial"/>
          <w:kern w:val="2"/>
          <w:szCs w:val="20"/>
          <w:lang w:val="sl-SI"/>
          <w14:ligatures w14:val="standardContextual"/>
        </w:rPr>
        <w:t>V pri</w:t>
      </w:r>
      <w:r w:rsidRPr="00EF4B31">
        <w:rPr>
          <w:rFonts w:eastAsia="Aptos" w:cs="Arial"/>
          <w:kern w:val="2"/>
          <w:szCs w:val="20"/>
          <w:lang w:val="sl-SI"/>
          <w14:ligatures w14:val="standardContextual"/>
        </w:rPr>
        <w:t xml:space="preserve">meru nedostopnosti sistema CATCH in v skladu z 9. točko 6a člena Izvedbene uredbe 1010/2009 (kakor je bila spremenjena z Izvedbeno uredbo Komisije (EU) 2025/1522 z dne 28. julija 2025) so na uradni spletni strani </w:t>
      </w:r>
      <w:hyperlink r:id="rId8" w:history="1">
        <w:r w:rsidR="008F28E9" w:rsidRPr="008F28E9">
          <w:rPr>
            <w:rStyle w:val="Hiperpovezava"/>
            <w:rFonts w:eastAsia="Aptos" w:cs="Arial"/>
            <w:kern w:val="2"/>
            <w:szCs w:val="20"/>
            <w:lang w:val="sl-SI"/>
            <w14:ligatures w14:val="standardContextual"/>
          </w:rPr>
          <w:t>DG MARE – Templates CATCH</w:t>
        </w:r>
      </w:hyperlink>
      <w:r w:rsidRPr="00EF4B31">
        <w:rPr>
          <w:rFonts w:eastAsia="Aptos" w:cs="Arial"/>
          <w:kern w:val="2"/>
          <w:szCs w:val="20"/>
          <w:lang w:val="sl-SI"/>
          <w14:ligatures w14:val="standardContextual"/>
        </w:rPr>
        <w:t xml:space="preserve"> na voljo izpolnljive tiskane ali elektronske predloge. Poleg tega, kot je navedeno v navedenem členu, mora uvoznik, ko je sistem ponovno na voljo, v sistem CATCH </w:t>
      </w:r>
      <w:r w:rsidRPr="00C87411">
        <w:rPr>
          <w:rFonts w:eastAsia="Aptos" w:cs="Arial"/>
          <w:kern w:val="2"/>
          <w:szCs w:val="20"/>
          <w:lang w:val="sl-SI"/>
          <w14:ligatures w14:val="standardContextual"/>
        </w:rPr>
        <w:t xml:space="preserve">vnesti podatke, zabeležene v tiskanih ali elektronskih predlogah, ki jih je mogoče izpolniti in jih kot dokazila priložiti v sistem CATCH. Ti dokumenti vsebujejo besedilo </w:t>
      </w:r>
      <w:r w:rsidRPr="00C87411">
        <w:rPr>
          <w:rFonts w:ascii="72" w:eastAsia="Aptos" w:hAnsi="72" w:cs="72"/>
          <w:kern w:val="2"/>
          <w:szCs w:val="20"/>
          <w:lang w:val="sl-SI"/>
          <w14:ligatures w14:val="standardContextual"/>
        </w:rPr>
        <w:t>"</w:t>
      </w:r>
      <w:r w:rsidRPr="00C87411">
        <w:rPr>
          <w:rFonts w:eastAsia="Aptos" w:cs="Arial"/>
          <w:kern w:val="2"/>
          <w:szCs w:val="20"/>
          <w:lang w:val="sl-SI"/>
          <w14:ligatures w14:val="standardContextual"/>
        </w:rPr>
        <w:t>pripravljeno v času izrednih ukrepov</w:t>
      </w:r>
      <w:r w:rsidRPr="00C87411">
        <w:rPr>
          <w:rFonts w:ascii="72" w:eastAsia="Aptos" w:hAnsi="72" w:cs="72"/>
          <w:kern w:val="2"/>
          <w:szCs w:val="20"/>
          <w:lang w:val="sl-SI"/>
          <w14:ligatures w14:val="standardContextual"/>
        </w:rPr>
        <w:t>"</w:t>
      </w:r>
      <w:r w:rsidRPr="00C87411">
        <w:rPr>
          <w:rFonts w:eastAsia="Aptos" w:cs="Arial"/>
          <w:kern w:val="2"/>
          <w:szCs w:val="20"/>
          <w:lang w:val="sl-SI"/>
          <w14:ligatures w14:val="standardContextual"/>
        </w:rPr>
        <w:t xml:space="preserve">. Poleg tega, kot je navedeno v vprašanju 13 </w:t>
      </w:r>
      <w:hyperlink r:id="rId9" w:history="1">
        <w:r w:rsidR="00EF4B31" w:rsidRPr="00C87411">
          <w:rPr>
            <w:rStyle w:val="Hiperpovezava"/>
            <w:rFonts w:eastAsia="Aptos" w:cs="Arial"/>
            <w:kern w:val="2"/>
            <w:szCs w:val="20"/>
            <w:lang w:val="sl-SI"/>
            <w14:ligatures w14:val="standardContextual"/>
          </w:rPr>
          <w:t>pogosto zastavljenih vprašanj (FAQs)</w:t>
        </w:r>
      </w:hyperlink>
      <w:r w:rsidRPr="00C87411">
        <w:rPr>
          <w:rFonts w:eastAsia="Aptos" w:cs="Arial"/>
          <w:kern w:val="2"/>
          <w:szCs w:val="20"/>
          <w:lang w:val="sl-SI"/>
          <w14:ligatures w14:val="standardContextual"/>
        </w:rPr>
        <w:t>, se načrtovano vzdrževanje in morebitna nedostopnost sistema TRACES NT vnaprej napove z opozorilnimi sporočili na platformi TRACES NT vsem uporabnikom. Ko se prijavite, lahko vidite ta opozorila.</w:t>
      </w:r>
    </w:p>
    <w:p w14:paraId="0B1E5540" w14:textId="77777777" w:rsidR="00EF4B31" w:rsidRPr="00EF4B31" w:rsidRDefault="00EF4B31" w:rsidP="00EF4B31">
      <w:pPr>
        <w:pStyle w:val="Odstavekseznama"/>
        <w:spacing w:before="120" w:after="120"/>
        <w:ind w:left="360"/>
        <w:jc w:val="both"/>
        <w:rPr>
          <w:rFonts w:eastAsia="Aptos" w:cs="Arial"/>
          <w:kern w:val="2"/>
          <w:szCs w:val="20"/>
          <w:lang w:val="sl-SI"/>
          <w14:ligatures w14:val="standardContextual"/>
        </w:rPr>
      </w:pPr>
    </w:p>
    <w:p w14:paraId="25B92F53" w14:textId="7821A860" w:rsidR="00EF4B31" w:rsidRPr="00EF4B31" w:rsidRDefault="00000000" w:rsidP="00EF4B31">
      <w:pPr>
        <w:pStyle w:val="Odstavekseznama"/>
        <w:numPr>
          <w:ilvl w:val="0"/>
          <w:numId w:val="7"/>
        </w:numPr>
        <w:spacing w:before="120" w:after="120"/>
        <w:jc w:val="both"/>
        <w:rPr>
          <w:rFonts w:eastAsia="Aptos" w:cs="Arial"/>
          <w:kern w:val="2"/>
          <w:szCs w:val="20"/>
          <w:lang w:val="sl-SI"/>
          <w14:ligatures w14:val="standardContextual"/>
        </w:rPr>
      </w:pPr>
      <w:r w:rsidRPr="00EF4B31">
        <w:rPr>
          <w:rFonts w:eastAsia="Aptos" w:cs="Arial"/>
          <w:kern w:val="2"/>
          <w:szCs w:val="20"/>
          <w:lang w:val="sl-SI"/>
          <w14:ligatures w14:val="standardContextual"/>
        </w:rPr>
        <w:t>Postopki, ki so se začeli papirno pred uvedbo sistema CATCH (tj. pred 10. 1. 2026) se bodo tudi nadaljevali papirno. Navedeno pomeni, da če je bil uvoz v EU s potrdilom o ulovu predloženim v papirni obliki</w:t>
      </w:r>
      <w:r w:rsidR="005E77FD">
        <w:rPr>
          <w:rFonts w:eastAsia="Aptos" w:cs="Arial"/>
          <w:kern w:val="2"/>
          <w:szCs w:val="20"/>
          <w:lang w:val="sl-SI"/>
          <w14:ligatures w14:val="standardContextual"/>
        </w:rPr>
        <w:t xml:space="preserve"> (proizvodi so se sprostili v prost promet pred 10. 1. 2026)</w:t>
      </w:r>
      <w:r w:rsidRPr="00EF4B31">
        <w:rPr>
          <w:rFonts w:eastAsia="Aptos" w:cs="Arial"/>
          <w:kern w:val="2"/>
          <w:szCs w:val="20"/>
          <w:lang w:val="sl-SI"/>
          <w14:ligatures w14:val="standardContextual"/>
        </w:rPr>
        <w:t>, se vsi postopki, ki izhajajo iz tega potrdila o ulovu (predelava v EU, skladiščenje, ponovni izvoz iz EU), nadaljujejo v papirni obliki, mimo sistema CATCH.</w:t>
      </w:r>
    </w:p>
    <w:p w14:paraId="4C594A09" w14:textId="77777777" w:rsidR="007D75CF" w:rsidRPr="00BC2517" w:rsidRDefault="007D75CF" w:rsidP="00EF4B31">
      <w:pPr>
        <w:spacing w:before="120" w:after="120"/>
        <w:jc w:val="both"/>
        <w:rPr>
          <w:lang w:val="sl-SI"/>
        </w:rPr>
      </w:pPr>
    </w:p>
    <w:p w14:paraId="3EF5C0CF" w14:textId="77777777" w:rsidR="008F28E9" w:rsidRPr="00BC2517" w:rsidRDefault="00000000" w:rsidP="005149DF">
      <w:pPr>
        <w:pStyle w:val="podpisi"/>
        <w:tabs>
          <w:tab w:val="left" w:pos="709"/>
        </w:tabs>
        <w:rPr>
          <w:lang w:val="sl-SI"/>
        </w:rPr>
      </w:pPr>
      <w:r>
        <w:rPr>
          <w:lang w:val="sl-SI"/>
        </w:rPr>
        <w:t>Objava: Internet FURS/Intranet</w:t>
      </w:r>
    </w:p>
    <w:sectPr w:rsidR="008F28E9" w:rsidRPr="00BC2517" w:rsidSect="00F0025B">
      <w:headerReference w:type="even" r:id="rId10"/>
      <w:headerReference w:type="default" r:id="rId11"/>
      <w:footerReference w:type="even" r:id="rId12"/>
      <w:footerReference w:type="default" r:id="rId13"/>
      <w:headerReference w:type="first" r:id="rId14"/>
      <w:footerReference w:type="first" r:id="rId15"/>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DAED" w14:textId="77777777" w:rsidR="005814CF" w:rsidRDefault="005814CF">
      <w:pPr>
        <w:spacing w:line="240" w:lineRule="auto"/>
      </w:pPr>
      <w:r>
        <w:separator/>
      </w:r>
    </w:p>
  </w:endnote>
  <w:endnote w:type="continuationSeparator" w:id="0">
    <w:p w14:paraId="34D46E35" w14:textId="77777777" w:rsidR="005814CF" w:rsidRDefault="0058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72">
    <w:panose1 w:val="020B0503030000000003"/>
    <w:charset w:val="EE"/>
    <w:family w:val="swiss"/>
    <w:pitch w:val="variable"/>
    <w:sig w:usb0="A00002EF" w:usb1="5000205B" w:usb2="00000008" w:usb3="00000000" w:csb0="0000009F" w:csb1="00000000"/>
  </w:font>
  <w:font w:name="Republika">
    <w:panose1 w:val="02000506040000020004"/>
    <w:charset w:val="EE"/>
    <w:family w:val="auto"/>
    <w:pitch w:val="variable"/>
    <w:sig w:usb0="A00000F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E586" w14:textId="77777777" w:rsidR="005254D1" w:rsidRDefault="005254D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1EFA"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3828AD">
      <w:rPr>
        <w:rFonts w:cs="Arial"/>
        <w:noProof/>
        <w:sz w:val="16"/>
      </w:rPr>
      <w:t>1</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2764"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B653A6">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B653A6">
      <w:rPr>
        <w:rFonts w:cs="Arial"/>
        <w:noProof/>
        <w:sz w:val="16"/>
      </w:rPr>
      <w:t>1</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CB8B" w14:textId="77777777" w:rsidR="005814CF" w:rsidRDefault="005814CF">
      <w:pPr>
        <w:spacing w:line="240" w:lineRule="auto"/>
      </w:pPr>
      <w:r>
        <w:separator/>
      </w:r>
    </w:p>
  </w:footnote>
  <w:footnote w:type="continuationSeparator" w:id="0">
    <w:p w14:paraId="157396C6" w14:textId="77777777" w:rsidR="005814CF" w:rsidRDefault="005814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6B4" w14:textId="77777777" w:rsidR="005254D1" w:rsidRDefault="005254D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B65F" w14:textId="77777777" w:rsidR="000B0B21" w:rsidRPr="00110CBD" w:rsidRDefault="000B0B2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952B4" w14:paraId="7A69A00C" w14:textId="77777777">
      <w:trPr>
        <w:cantSplit/>
        <w:trHeight w:hRule="exact" w:val="847"/>
      </w:trPr>
      <w:tc>
        <w:tcPr>
          <w:tcW w:w="567" w:type="dxa"/>
        </w:tcPr>
        <w:p w14:paraId="1873777C" w14:textId="77777777" w:rsidR="000B0B21" w:rsidRDefault="00000000"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0BBA1B9" w14:textId="77777777" w:rsidR="000B0B21" w:rsidRPr="006D42D9" w:rsidRDefault="000B0B21" w:rsidP="006D42D9">
          <w:pPr>
            <w:rPr>
              <w:rFonts w:ascii="Republika" w:hAnsi="Republika"/>
              <w:sz w:val="60"/>
              <w:szCs w:val="60"/>
              <w:lang w:val="sl-SI"/>
            </w:rPr>
          </w:pPr>
        </w:p>
        <w:p w14:paraId="5937E93B" w14:textId="77777777" w:rsidR="000B0B21" w:rsidRPr="006D42D9" w:rsidRDefault="000B0B21" w:rsidP="006D42D9">
          <w:pPr>
            <w:rPr>
              <w:rFonts w:ascii="Republika" w:hAnsi="Republika"/>
              <w:sz w:val="60"/>
              <w:szCs w:val="60"/>
              <w:lang w:val="sl-SI"/>
            </w:rPr>
          </w:pPr>
        </w:p>
        <w:p w14:paraId="50FB7105" w14:textId="77777777" w:rsidR="000B0B21" w:rsidRPr="006D42D9" w:rsidRDefault="000B0B21" w:rsidP="006D42D9">
          <w:pPr>
            <w:rPr>
              <w:rFonts w:ascii="Republika" w:hAnsi="Republika"/>
              <w:sz w:val="60"/>
              <w:szCs w:val="60"/>
              <w:lang w:val="sl-SI"/>
            </w:rPr>
          </w:pPr>
        </w:p>
        <w:p w14:paraId="592BBEEE" w14:textId="77777777" w:rsidR="000B0B21" w:rsidRPr="006D42D9" w:rsidRDefault="000B0B21" w:rsidP="006D42D9">
          <w:pPr>
            <w:rPr>
              <w:rFonts w:ascii="Republika" w:hAnsi="Republika"/>
              <w:sz w:val="60"/>
              <w:szCs w:val="60"/>
              <w:lang w:val="sl-SI"/>
            </w:rPr>
          </w:pPr>
        </w:p>
        <w:p w14:paraId="7E48A2CC" w14:textId="77777777" w:rsidR="000B0B21" w:rsidRPr="006D42D9" w:rsidRDefault="000B0B21" w:rsidP="006D42D9">
          <w:pPr>
            <w:rPr>
              <w:rFonts w:ascii="Republika" w:hAnsi="Republika"/>
              <w:sz w:val="60"/>
              <w:szCs w:val="60"/>
              <w:lang w:val="sl-SI"/>
            </w:rPr>
          </w:pPr>
        </w:p>
        <w:p w14:paraId="439A735B" w14:textId="77777777" w:rsidR="000B0B21" w:rsidRPr="006D42D9" w:rsidRDefault="000B0B21" w:rsidP="006D42D9">
          <w:pPr>
            <w:rPr>
              <w:rFonts w:ascii="Republika" w:hAnsi="Republika"/>
              <w:sz w:val="60"/>
              <w:szCs w:val="60"/>
              <w:lang w:val="sl-SI"/>
            </w:rPr>
          </w:pPr>
        </w:p>
        <w:p w14:paraId="17483EA8" w14:textId="77777777" w:rsidR="000B0B21" w:rsidRPr="006D42D9" w:rsidRDefault="000B0B21" w:rsidP="006D42D9">
          <w:pPr>
            <w:rPr>
              <w:rFonts w:ascii="Republika" w:hAnsi="Republika"/>
              <w:sz w:val="60"/>
              <w:szCs w:val="60"/>
              <w:lang w:val="sl-SI"/>
            </w:rPr>
          </w:pPr>
        </w:p>
        <w:p w14:paraId="49986947" w14:textId="77777777" w:rsidR="000B0B21" w:rsidRPr="006D42D9" w:rsidRDefault="000B0B21" w:rsidP="006D42D9">
          <w:pPr>
            <w:rPr>
              <w:rFonts w:ascii="Republika" w:hAnsi="Republika"/>
              <w:sz w:val="60"/>
              <w:szCs w:val="60"/>
              <w:lang w:val="sl-SI"/>
            </w:rPr>
          </w:pPr>
        </w:p>
        <w:p w14:paraId="770BB61C" w14:textId="77777777" w:rsidR="000B0B21" w:rsidRPr="006D42D9" w:rsidRDefault="000B0B21" w:rsidP="006D42D9">
          <w:pPr>
            <w:rPr>
              <w:rFonts w:ascii="Republika" w:hAnsi="Republika"/>
              <w:sz w:val="60"/>
              <w:szCs w:val="60"/>
              <w:lang w:val="sl-SI"/>
            </w:rPr>
          </w:pPr>
        </w:p>
        <w:p w14:paraId="175650E7" w14:textId="77777777" w:rsidR="000B0B21" w:rsidRPr="006D42D9" w:rsidRDefault="000B0B21" w:rsidP="006D42D9">
          <w:pPr>
            <w:rPr>
              <w:rFonts w:ascii="Republika" w:hAnsi="Republika"/>
              <w:sz w:val="60"/>
              <w:szCs w:val="60"/>
              <w:lang w:val="sl-SI"/>
            </w:rPr>
          </w:pPr>
        </w:p>
        <w:p w14:paraId="656A63CA" w14:textId="77777777" w:rsidR="000B0B21" w:rsidRPr="006D42D9" w:rsidRDefault="000B0B21" w:rsidP="006D42D9">
          <w:pPr>
            <w:rPr>
              <w:rFonts w:ascii="Republika" w:hAnsi="Republika"/>
              <w:sz w:val="60"/>
              <w:szCs w:val="60"/>
              <w:lang w:val="sl-SI"/>
            </w:rPr>
          </w:pPr>
        </w:p>
        <w:p w14:paraId="3D832D3A" w14:textId="77777777" w:rsidR="000B0B21" w:rsidRPr="006D42D9" w:rsidRDefault="000B0B21" w:rsidP="006D42D9">
          <w:pPr>
            <w:rPr>
              <w:rFonts w:ascii="Republika" w:hAnsi="Republika"/>
              <w:sz w:val="60"/>
              <w:szCs w:val="60"/>
              <w:lang w:val="sl-SI"/>
            </w:rPr>
          </w:pPr>
        </w:p>
        <w:p w14:paraId="6C6AD2AC" w14:textId="77777777" w:rsidR="000B0B21" w:rsidRPr="006D42D9" w:rsidRDefault="000B0B21" w:rsidP="006D42D9">
          <w:pPr>
            <w:rPr>
              <w:rFonts w:ascii="Republika" w:hAnsi="Republika"/>
              <w:sz w:val="60"/>
              <w:szCs w:val="60"/>
              <w:lang w:val="sl-SI"/>
            </w:rPr>
          </w:pPr>
        </w:p>
        <w:p w14:paraId="5921110F" w14:textId="77777777" w:rsidR="000B0B21" w:rsidRPr="006D42D9" w:rsidRDefault="000B0B21" w:rsidP="006D42D9">
          <w:pPr>
            <w:rPr>
              <w:rFonts w:ascii="Republika" w:hAnsi="Republika"/>
              <w:sz w:val="60"/>
              <w:szCs w:val="60"/>
              <w:lang w:val="sl-SI"/>
            </w:rPr>
          </w:pPr>
        </w:p>
        <w:p w14:paraId="649860F6" w14:textId="77777777" w:rsidR="000B0B21" w:rsidRPr="006D42D9" w:rsidRDefault="000B0B21" w:rsidP="006D42D9">
          <w:pPr>
            <w:rPr>
              <w:rFonts w:ascii="Republika" w:hAnsi="Republika"/>
              <w:sz w:val="60"/>
              <w:szCs w:val="60"/>
              <w:lang w:val="sl-SI"/>
            </w:rPr>
          </w:pPr>
        </w:p>
        <w:p w14:paraId="44CCA884" w14:textId="77777777" w:rsidR="000B0B21" w:rsidRPr="006D42D9" w:rsidRDefault="000B0B21" w:rsidP="006D42D9">
          <w:pPr>
            <w:rPr>
              <w:rFonts w:ascii="Republika" w:hAnsi="Republika"/>
              <w:sz w:val="60"/>
              <w:szCs w:val="60"/>
              <w:lang w:val="sl-SI"/>
            </w:rPr>
          </w:pPr>
        </w:p>
      </w:tc>
    </w:tr>
  </w:tbl>
  <w:p w14:paraId="412DF33B" w14:textId="77777777" w:rsidR="000B0B21" w:rsidRPr="008F3500" w:rsidRDefault="00000000" w:rsidP="00924E3C">
    <w:pPr>
      <w:autoSpaceDE w:val="0"/>
      <w:autoSpaceDN w:val="0"/>
      <w:adjustRightInd w:val="0"/>
      <w:spacing w:line="240" w:lineRule="auto"/>
      <w:rPr>
        <w:rFonts w:ascii="Republika" w:hAnsi="Republika"/>
        <w:lang w:val="sl-SI"/>
      </w:rPr>
    </w:pPr>
    <w:r>
      <w:rPr>
        <w:noProof/>
        <w:szCs w:val="20"/>
        <w:lang w:val="sl-SI" w:eastAsia="ko-KR"/>
      </w:rPr>
      <mc:AlternateContent>
        <mc:Choice Requires="wps">
          <w:drawing>
            <wp:anchor distT="0" distB="0" distL="114300" distR="114300" simplePos="0" relativeHeight="251659264" behindDoc="1" locked="0" layoutInCell="0" allowOverlap="1" wp14:anchorId="7F20EAE9" wp14:editId="2CE0EF65">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vertical-relative:page;mso-width-percent:0;mso-width-relative:page;mso-wrap-distance-bottom:0;mso-wrap-distance-left:9pt;mso-wrap-distance-right:9pt;mso-wrap-distance-top:0;position:absolute;v-text-anchor:top;z-index:-251658240" from="-34pt,283.5pt" to="-14.15pt,283.5pt" o:allowincell="f" fillcolor="this" stroked="t" strokecolor="#428299" strokeweight="0.5pt">
              <v:stroke joinstyle="round"/>
            </v:line>
          </w:pict>
        </mc:Fallback>
      </mc:AlternateContent>
    </w:r>
    <w:r w:rsidRPr="008F3500">
      <w:rPr>
        <w:rFonts w:ascii="Republika" w:hAnsi="Republika"/>
        <w:lang w:val="sl-SI"/>
      </w:rPr>
      <w:t>REPUBLIKA SLOVENIJA</w:t>
    </w:r>
  </w:p>
  <w:p w14:paraId="1AD8F67A" w14:textId="77777777" w:rsidR="000B0B21" w:rsidRPr="00FD746A" w:rsidRDefault="00000000" w:rsidP="00924E3C">
    <w:pPr>
      <w:pStyle w:val="Glava"/>
      <w:tabs>
        <w:tab w:val="clear" w:pos="4320"/>
        <w:tab w:val="clear" w:pos="8640"/>
        <w:tab w:val="left" w:pos="5112"/>
      </w:tabs>
      <w:spacing w:after="120" w:line="240" w:lineRule="exact"/>
      <w:rPr>
        <w:rFonts w:ascii="Republika" w:hAnsi="Republika"/>
        <w:b/>
        <w:caps/>
        <w:lang w:val="sl-SI"/>
      </w:rPr>
    </w:pPr>
    <w:r w:rsidRPr="00FD746A">
      <w:rPr>
        <w:rFonts w:ascii="Republika" w:hAnsi="Republika"/>
        <w:b/>
        <w:caps/>
        <w:lang w:val="sl-SI"/>
      </w:rPr>
      <w:t>Ministrstvo za finance</w:t>
    </w:r>
  </w:p>
  <w:p w14:paraId="10746A35" w14:textId="77777777" w:rsidR="00ED7E82" w:rsidRDefault="00000000"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w:t>
    </w:r>
    <w:r w:rsidR="00A12D5C">
      <w:rPr>
        <w:rFonts w:ascii="Republika" w:hAnsi="Republika"/>
        <w:caps/>
        <w:lang w:val="sl-SI"/>
      </w:rPr>
      <w:t xml:space="preserve"> uprava Republike Slovenije</w:t>
    </w:r>
  </w:p>
  <w:p w14:paraId="5D1B3C75" w14:textId="77777777" w:rsidR="005254D1" w:rsidRPr="00A12D5C" w:rsidRDefault="00000000" w:rsidP="005254D1">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Generalni finančni urad</w:t>
    </w:r>
  </w:p>
  <w:p w14:paraId="78EB4019" w14:textId="77777777" w:rsidR="005254D1" w:rsidRPr="008F3500" w:rsidRDefault="00000000" w:rsidP="005254D1">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7406F8FD" w14:textId="77777777" w:rsidR="005254D1" w:rsidRPr="008F3500" w:rsidRDefault="00000000" w:rsidP="005254D1">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4A8AF021" w14:textId="77777777" w:rsidR="005254D1" w:rsidRPr="008F3500" w:rsidRDefault="00000000" w:rsidP="005254D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4F2B0352" w14:textId="77777777" w:rsidR="000B0B21" w:rsidRPr="008F3500" w:rsidRDefault="000B0B2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8A1"/>
    <w:multiLevelType w:val="hybridMultilevel"/>
    <w:tmpl w:val="BF1ACB88"/>
    <w:lvl w:ilvl="0" w:tplc="6460532A">
      <w:start w:val="1"/>
      <w:numFmt w:val="bullet"/>
      <w:lvlText w:val="¾"/>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CD0F384">
      <w:start w:val="1"/>
      <w:numFmt w:val="decimal"/>
      <w:lvlText w:val="%1."/>
      <w:lvlJc w:val="left"/>
      <w:pPr>
        <w:tabs>
          <w:tab w:val="num" w:pos="1080"/>
        </w:tabs>
        <w:ind w:left="1080" w:hanging="360"/>
      </w:pPr>
      <w:rPr>
        <w:rFonts w:hint="default"/>
      </w:rPr>
    </w:lvl>
    <w:lvl w:ilvl="1" w:tplc="B91267D8" w:tentative="1">
      <w:start w:val="1"/>
      <w:numFmt w:val="lowerLetter"/>
      <w:lvlText w:val="%2."/>
      <w:lvlJc w:val="left"/>
      <w:pPr>
        <w:ind w:left="1800" w:hanging="360"/>
      </w:pPr>
    </w:lvl>
    <w:lvl w:ilvl="2" w:tplc="3C086E7C" w:tentative="1">
      <w:start w:val="1"/>
      <w:numFmt w:val="lowerRoman"/>
      <w:lvlText w:val="%3."/>
      <w:lvlJc w:val="right"/>
      <w:pPr>
        <w:ind w:left="2520" w:hanging="180"/>
      </w:pPr>
    </w:lvl>
    <w:lvl w:ilvl="3" w:tplc="E4FAED08" w:tentative="1">
      <w:start w:val="1"/>
      <w:numFmt w:val="decimal"/>
      <w:lvlText w:val="%4."/>
      <w:lvlJc w:val="left"/>
      <w:pPr>
        <w:ind w:left="3240" w:hanging="360"/>
      </w:pPr>
    </w:lvl>
    <w:lvl w:ilvl="4" w:tplc="D98EDE58" w:tentative="1">
      <w:start w:val="1"/>
      <w:numFmt w:val="lowerLetter"/>
      <w:lvlText w:val="%5."/>
      <w:lvlJc w:val="left"/>
      <w:pPr>
        <w:ind w:left="3960" w:hanging="360"/>
      </w:pPr>
    </w:lvl>
    <w:lvl w:ilvl="5" w:tplc="565434D6" w:tentative="1">
      <w:start w:val="1"/>
      <w:numFmt w:val="lowerRoman"/>
      <w:lvlText w:val="%6."/>
      <w:lvlJc w:val="right"/>
      <w:pPr>
        <w:ind w:left="4680" w:hanging="180"/>
      </w:pPr>
    </w:lvl>
    <w:lvl w:ilvl="6" w:tplc="7E88A83A" w:tentative="1">
      <w:start w:val="1"/>
      <w:numFmt w:val="decimal"/>
      <w:lvlText w:val="%7."/>
      <w:lvlJc w:val="left"/>
      <w:pPr>
        <w:ind w:left="5400" w:hanging="360"/>
      </w:pPr>
    </w:lvl>
    <w:lvl w:ilvl="7" w:tplc="454A84D4" w:tentative="1">
      <w:start w:val="1"/>
      <w:numFmt w:val="lowerLetter"/>
      <w:lvlText w:val="%8."/>
      <w:lvlJc w:val="left"/>
      <w:pPr>
        <w:ind w:left="6120" w:hanging="360"/>
      </w:pPr>
    </w:lvl>
    <w:lvl w:ilvl="8" w:tplc="395A7E5C"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1B40B4DC">
      <w:start w:val="1"/>
      <w:numFmt w:val="decimal"/>
      <w:lvlText w:val="%1."/>
      <w:lvlJc w:val="left"/>
      <w:pPr>
        <w:tabs>
          <w:tab w:val="num" w:pos="360"/>
        </w:tabs>
        <w:ind w:left="360" w:hanging="360"/>
      </w:pPr>
      <w:rPr>
        <w:rFonts w:hint="default"/>
      </w:rPr>
    </w:lvl>
    <w:lvl w:ilvl="1" w:tplc="128CF65C" w:tentative="1">
      <w:start w:val="1"/>
      <w:numFmt w:val="lowerLetter"/>
      <w:lvlText w:val="%2."/>
      <w:lvlJc w:val="left"/>
      <w:pPr>
        <w:ind w:left="1080" w:hanging="360"/>
      </w:pPr>
    </w:lvl>
    <w:lvl w:ilvl="2" w:tplc="AE464D90" w:tentative="1">
      <w:start w:val="1"/>
      <w:numFmt w:val="lowerRoman"/>
      <w:lvlText w:val="%3."/>
      <w:lvlJc w:val="right"/>
      <w:pPr>
        <w:ind w:left="1800" w:hanging="180"/>
      </w:pPr>
    </w:lvl>
    <w:lvl w:ilvl="3" w:tplc="DE4228CA" w:tentative="1">
      <w:start w:val="1"/>
      <w:numFmt w:val="decimal"/>
      <w:lvlText w:val="%4."/>
      <w:lvlJc w:val="left"/>
      <w:pPr>
        <w:ind w:left="2520" w:hanging="360"/>
      </w:pPr>
    </w:lvl>
    <w:lvl w:ilvl="4" w:tplc="1F4AA10C" w:tentative="1">
      <w:start w:val="1"/>
      <w:numFmt w:val="lowerLetter"/>
      <w:lvlText w:val="%5."/>
      <w:lvlJc w:val="left"/>
      <w:pPr>
        <w:ind w:left="3240" w:hanging="360"/>
      </w:pPr>
    </w:lvl>
    <w:lvl w:ilvl="5" w:tplc="B2387FAE" w:tentative="1">
      <w:start w:val="1"/>
      <w:numFmt w:val="lowerRoman"/>
      <w:lvlText w:val="%6."/>
      <w:lvlJc w:val="right"/>
      <w:pPr>
        <w:ind w:left="3960" w:hanging="180"/>
      </w:pPr>
    </w:lvl>
    <w:lvl w:ilvl="6" w:tplc="DE84FDFA" w:tentative="1">
      <w:start w:val="1"/>
      <w:numFmt w:val="decimal"/>
      <w:lvlText w:val="%7."/>
      <w:lvlJc w:val="left"/>
      <w:pPr>
        <w:ind w:left="4680" w:hanging="360"/>
      </w:pPr>
    </w:lvl>
    <w:lvl w:ilvl="7" w:tplc="1B70097E" w:tentative="1">
      <w:start w:val="1"/>
      <w:numFmt w:val="lowerLetter"/>
      <w:lvlText w:val="%8."/>
      <w:lvlJc w:val="left"/>
      <w:pPr>
        <w:ind w:left="5400" w:hanging="360"/>
      </w:pPr>
    </w:lvl>
    <w:lvl w:ilvl="8" w:tplc="8402AAB4" w:tentative="1">
      <w:start w:val="1"/>
      <w:numFmt w:val="lowerRoman"/>
      <w:lvlText w:val="%9."/>
      <w:lvlJc w:val="right"/>
      <w:pPr>
        <w:ind w:left="6120" w:hanging="180"/>
      </w:pPr>
    </w:lvl>
  </w:abstractNum>
  <w:abstractNum w:abstractNumId="3" w15:restartNumberingAfterBreak="0">
    <w:nsid w:val="254F0202"/>
    <w:multiLevelType w:val="hybridMultilevel"/>
    <w:tmpl w:val="25E0665E"/>
    <w:lvl w:ilvl="0" w:tplc="543ACA66">
      <w:start w:val="1"/>
      <w:numFmt w:val="decimal"/>
      <w:pStyle w:val="Slog1"/>
      <w:lvlText w:val="%1."/>
      <w:lvlJc w:val="left"/>
      <w:pPr>
        <w:ind w:left="360" w:hanging="360"/>
      </w:pPr>
    </w:lvl>
    <w:lvl w:ilvl="1" w:tplc="56CE7DD8" w:tentative="1">
      <w:start w:val="1"/>
      <w:numFmt w:val="lowerLetter"/>
      <w:lvlText w:val="%2."/>
      <w:lvlJc w:val="left"/>
      <w:pPr>
        <w:ind w:left="1080" w:hanging="360"/>
      </w:pPr>
    </w:lvl>
    <w:lvl w:ilvl="2" w:tplc="5E2AE2B4" w:tentative="1">
      <w:start w:val="1"/>
      <w:numFmt w:val="lowerRoman"/>
      <w:lvlText w:val="%3."/>
      <w:lvlJc w:val="right"/>
      <w:pPr>
        <w:ind w:left="1800" w:hanging="180"/>
      </w:pPr>
    </w:lvl>
    <w:lvl w:ilvl="3" w:tplc="A54CE1F2" w:tentative="1">
      <w:start w:val="1"/>
      <w:numFmt w:val="decimal"/>
      <w:lvlText w:val="%4."/>
      <w:lvlJc w:val="left"/>
      <w:pPr>
        <w:ind w:left="2520" w:hanging="360"/>
      </w:pPr>
    </w:lvl>
    <w:lvl w:ilvl="4" w:tplc="9EEC381A" w:tentative="1">
      <w:start w:val="1"/>
      <w:numFmt w:val="lowerLetter"/>
      <w:lvlText w:val="%5."/>
      <w:lvlJc w:val="left"/>
      <w:pPr>
        <w:ind w:left="3240" w:hanging="360"/>
      </w:pPr>
    </w:lvl>
    <w:lvl w:ilvl="5" w:tplc="C7EE7ABA" w:tentative="1">
      <w:start w:val="1"/>
      <w:numFmt w:val="lowerRoman"/>
      <w:lvlText w:val="%6."/>
      <w:lvlJc w:val="right"/>
      <w:pPr>
        <w:ind w:left="3960" w:hanging="180"/>
      </w:pPr>
    </w:lvl>
    <w:lvl w:ilvl="6" w:tplc="8C9CE77A" w:tentative="1">
      <w:start w:val="1"/>
      <w:numFmt w:val="decimal"/>
      <w:lvlText w:val="%7."/>
      <w:lvlJc w:val="left"/>
      <w:pPr>
        <w:ind w:left="4680" w:hanging="360"/>
      </w:pPr>
    </w:lvl>
    <w:lvl w:ilvl="7" w:tplc="D17E6CB8" w:tentative="1">
      <w:start w:val="1"/>
      <w:numFmt w:val="lowerLetter"/>
      <w:lvlText w:val="%8."/>
      <w:lvlJc w:val="left"/>
      <w:pPr>
        <w:ind w:left="5400" w:hanging="360"/>
      </w:pPr>
    </w:lvl>
    <w:lvl w:ilvl="8" w:tplc="4B6E1EE6"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66F072E0">
      <w:start w:val="1"/>
      <w:numFmt w:val="decimal"/>
      <w:lvlText w:val="%1."/>
      <w:lvlJc w:val="left"/>
      <w:pPr>
        <w:tabs>
          <w:tab w:val="num" w:pos="720"/>
        </w:tabs>
        <w:ind w:left="720" w:hanging="360"/>
      </w:pPr>
      <w:rPr>
        <w:rFonts w:hint="default"/>
      </w:rPr>
    </w:lvl>
    <w:lvl w:ilvl="1" w:tplc="5836951A" w:tentative="1">
      <w:start w:val="1"/>
      <w:numFmt w:val="lowerLetter"/>
      <w:lvlText w:val="%2."/>
      <w:lvlJc w:val="left"/>
      <w:pPr>
        <w:tabs>
          <w:tab w:val="num" w:pos="1440"/>
        </w:tabs>
        <w:ind w:left="1440" w:hanging="360"/>
      </w:pPr>
    </w:lvl>
    <w:lvl w:ilvl="2" w:tplc="73922DAA" w:tentative="1">
      <w:start w:val="1"/>
      <w:numFmt w:val="lowerRoman"/>
      <w:lvlText w:val="%3."/>
      <w:lvlJc w:val="right"/>
      <w:pPr>
        <w:tabs>
          <w:tab w:val="num" w:pos="2160"/>
        </w:tabs>
        <w:ind w:left="2160" w:hanging="180"/>
      </w:pPr>
    </w:lvl>
    <w:lvl w:ilvl="3" w:tplc="43766CEE" w:tentative="1">
      <w:start w:val="1"/>
      <w:numFmt w:val="decimal"/>
      <w:lvlText w:val="%4."/>
      <w:lvlJc w:val="left"/>
      <w:pPr>
        <w:tabs>
          <w:tab w:val="num" w:pos="2880"/>
        </w:tabs>
        <w:ind w:left="2880" w:hanging="360"/>
      </w:pPr>
    </w:lvl>
    <w:lvl w:ilvl="4" w:tplc="51EC2EDA" w:tentative="1">
      <w:start w:val="1"/>
      <w:numFmt w:val="lowerLetter"/>
      <w:lvlText w:val="%5."/>
      <w:lvlJc w:val="left"/>
      <w:pPr>
        <w:tabs>
          <w:tab w:val="num" w:pos="3600"/>
        </w:tabs>
        <w:ind w:left="3600" w:hanging="360"/>
      </w:pPr>
    </w:lvl>
    <w:lvl w:ilvl="5" w:tplc="C9845908" w:tentative="1">
      <w:start w:val="1"/>
      <w:numFmt w:val="lowerRoman"/>
      <w:lvlText w:val="%6."/>
      <w:lvlJc w:val="right"/>
      <w:pPr>
        <w:tabs>
          <w:tab w:val="num" w:pos="4320"/>
        </w:tabs>
        <w:ind w:left="4320" w:hanging="180"/>
      </w:pPr>
    </w:lvl>
    <w:lvl w:ilvl="6" w:tplc="D94E020A" w:tentative="1">
      <w:start w:val="1"/>
      <w:numFmt w:val="decimal"/>
      <w:lvlText w:val="%7."/>
      <w:lvlJc w:val="left"/>
      <w:pPr>
        <w:tabs>
          <w:tab w:val="num" w:pos="5040"/>
        </w:tabs>
        <w:ind w:left="5040" w:hanging="360"/>
      </w:pPr>
    </w:lvl>
    <w:lvl w:ilvl="7" w:tplc="97C614B2" w:tentative="1">
      <w:start w:val="1"/>
      <w:numFmt w:val="lowerLetter"/>
      <w:lvlText w:val="%8."/>
      <w:lvlJc w:val="left"/>
      <w:pPr>
        <w:tabs>
          <w:tab w:val="num" w:pos="5760"/>
        </w:tabs>
        <w:ind w:left="5760" w:hanging="360"/>
      </w:pPr>
    </w:lvl>
    <w:lvl w:ilvl="8" w:tplc="59C4100A" w:tentative="1">
      <w:start w:val="1"/>
      <w:numFmt w:val="lowerRoman"/>
      <w:lvlText w:val="%9."/>
      <w:lvlJc w:val="right"/>
      <w:pPr>
        <w:tabs>
          <w:tab w:val="num" w:pos="6480"/>
        </w:tabs>
        <w:ind w:left="6480" w:hanging="180"/>
      </w:pPr>
    </w:lvl>
  </w:abstractNum>
  <w:abstractNum w:abstractNumId="5" w15:restartNumberingAfterBreak="0">
    <w:nsid w:val="2F0107C2"/>
    <w:multiLevelType w:val="hybridMultilevel"/>
    <w:tmpl w:val="B6B8687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2D666DF"/>
    <w:multiLevelType w:val="hybridMultilevel"/>
    <w:tmpl w:val="7BB2CE1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8914335"/>
    <w:multiLevelType w:val="hybridMultilevel"/>
    <w:tmpl w:val="F9FCFB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CE205A"/>
    <w:multiLevelType w:val="hybridMultilevel"/>
    <w:tmpl w:val="0054FCA6"/>
    <w:lvl w:ilvl="0" w:tplc="108402F0">
      <w:start w:val="1"/>
      <w:numFmt w:val="bullet"/>
      <w:lvlText w:val="¾"/>
      <w:lvlJc w:val="left"/>
      <w:pPr>
        <w:ind w:left="360" w:hanging="360"/>
      </w:pPr>
      <w:rPr>
        <w:rFonts w:ascii="Symbol" w:hAnsi="Symbol" w:hint="default"/>
      </w:rPr>
    </w:lvl>
    <w:lvl w:ilvl="1" w:tplc="F5DA4AD6" w:tentative="1">
      <w:start w:val="1"/>
      <w:numFmt w:val="bullet"/>
      <w:lvlText w:val="o"/>
      <w:lvlJc w:val="left"/>
      <w:pPr>
        <w:ind w:left="1080" w:hanging="360"/>
      </w:pPr>
      <w:rPr>
        <w:rFonts w:ascii="Courier New" w:hAnsi="Courier New" w:cs="Courier New" w:hint="default"/>
      </w:rPr>
    </w:lvl>
    <w:lvl w:ilvl="2" w:tplc="81CCE59C" w:tentative="1">
      <w:start w:val="1"/>
      <w:numFmt w:val="bullet"/>
      <w:lvlText w:val=""/>
      <w:lvlJc w:val="left"/>
      <w:pPr>
        <w:ind w:left="1800" w:hanging="360"/>
      </w:pPr>
      <w:rPr>
        <w:rFonts w:ascii="Wingdings" w:hAnsi="Wingdings" w:hint="default"/>
      </w:rPr>
    </w:lvl>
    <w:lvl w:ilvl="3" w:tplc="0D8033D8" w:tentative="1">
      <w:start w:val="1"/>
      <w:numFmt w:val="bullet"/>
      <w:lvlText w:val=""/>
      <w:lvlJc w:val="left"/>
      <w:pPr>
        <w:ind w:left="2520" w:hanging="360"/>
      </w:pPr>
      <w:rPr>
        <w:rFonts w:ascii="Symbol" w:hAnsi="Symbol" w:hint="default"/>
      </w:rPr>
    </w:lvl>
    <w:lvl w:ilvl="4" w:tplc="36C69A48" w:tentative="1">
      <w:start w:val="1"/>
      <w:numFmt w:val="bullet"/>
      <w:lvlText w:val="o"/>
      <w:lvlJc w:val="left"/>
      <w:pPr>
        <w:ind w:left="3240" w:hanging="360"/>
      </w:pPr>
      <w:rPr>
        <w:rFonts w:ascii="Courier New" w:hAnsi="Courier New" w:cs="Courier New" w:hint="default"/>
      </w:rPr>
    </w:lvl>
    <w:lvl w:ilvl="5" w:tplc="3D901F7E" w:tentative="1">
      <w:start w:val="1"/>
      <w:numFmt w:val="bullet"/>
      <w:lvlText w:val=""/>
      <w:lvlJc w:val="left"/>
      <w:pPr>
        <w:ind w:left="3960" w:hanging="360"/>
      </w:pPr>
      <w:rPr>
        <w:rFonts w:ascii="Wingdings" w:hAnsi="Wingdings" w:hint="default"/>
      </w:rPr>
    </w:lvl>
    <w:lvl w:ilvl="6" w:tplc="77D467AA" w:tentative="1">
      <w:start w:val="1"/>
      <w:numFmt w:val="bullet"/>
      <w:lvlText w:val=""/>
      <w:lvlJc w:val="left"/>
      <w:pPr>
        <w:ind w:left="4680" w:hanging="360"/>
      </w:pPr>
      <w:rPr>
        <w:rFonts w:ascii="Symbol" w:hAnsi="Symbol" w:hint="default"/>
      </w:rPr>
    </w:lvl>
    <w:lvl w:ilvl="7" w:tplc="813E879E" w:tentative="1">
      <w:start w:val="1"/>
      <w:numFmt w:val="bullet"/>
      <w:lvlText w:val="o"/>
      <w:lvlJc w:val="left"/>
      <w:pPr>
        <w:ind w:left="5400" w:hanging="360"/>
      </w:pPr>
      <w:rPr>
        <w:rFonts w:ascii="Courier New" w:hAnsi="Courier New" w:cs="Courier New" w:hint="default"/>
      </w:rPr>
    </w:lvl>
    <w:lvl w:ilvl="8" w:tplc="1E6A2994" w:tentative="1">
      <w:start w:val="1"/>
      <w:numFmt w:val="bullet"/>
      <w:lvlText w:val=""/>
      <w:lvlJc w:val="left"/>
      <w:pPr>
        <w:ind w:left="6120" w:hanging="360"/>
      </w:pPr>
      <w:rPr>
        <w:rFonts w:ascii="Wingdings" w:hAnsi="Wingdings" w:hint="default"/>
      </w:rPr>
    </w:lvl>
  </w:abstractNum>
  <w:abstractNum w:abstractNumId="10" w15:restartNumberingAfterBreak="0">
    <w:nsid w:val="63AA4C44"/>
    <w:multiLevelType w:val="hybridMultilevel"/>
    <w:tmpl w:val="092E92F6"/>
    <w:lvl w:ilvl="0" w:tplc="908A6EF4">
      <w:start w:val="1"/>
      <w:numFmt w:val="decimal"/>
      <w:lvlText w:val="%1."/>
      <w:lvlJc w:val="left"/>
      <w:pPr>
        <w:tabs>
          <w:tab w:val="num" w:pos="720"/>
        </w:tabs>
        <w:ind w:left="720" w:hanging="360"/>
      </w:pPr>
    </w:lvl>
    <w:lvl w:ilvl="1" w:tplc="0C847F74" w:tentative="1">
      <w:start w:val="1"/>
      <w:numFmt w:val="lowerLetter"/>
      <w:lvlText w:val="%2."/>
      <w:lvlJc w:val="left"/>
      <w:pPr>
        <w:tabs>
          <w:tab w:val="num" w:pos="1440"/>
        </w:tabs>
        <w:ind w:left="1440" w:hanging="360"/>
      </w:pPr>
    </w:lvl>
    <w:lvl w:ilvl="2" w:tplc="E23CB8FE" w:tentative="1">
      <w:start w:val="1"/>
      <w:numFmt w:val="lowerRoman"/>
      <w:lvlText w:val="%3."/>
      <w:lvlJc w:val="right"/>
      <w:pPr>
        <w:tabs>
          <w:tab w:val="num" w:pos="2160"/>
        </w:tabs>
        <w:ind w:left="2160" w:hanging="180"/>
      </w:pPr>
    </w:lvl>
    <w:lvl w:ilvl="3" w:tplc="88B4E64E" w:tentative="1">
      <w:start w:val="1"/>
      <w:numFmt w:val="decimal"/>
      <w:lvlText w:val="%4."/>
      <w:lvlJc w:val="left"/>
      <w:pPr>
        <w:tabs>
          <w:tab w:val="num" w:pos="2880"/>
        </w:tabs>
        <w:ind w:left="2880" w:hanging="360"/>
      </w:pPr>
    </w:lvl>
    <w:lvl w:ilvl="4" w:tplc="D7AC841E" w:tentative="1">
      <w:start w:val="1"/>
      <w:numFmt w:val="lowerLetter"/>
      <w:lvlText w:val="%5."/>
      <w:lvlJc w:val="left"/>
      <w:pPr>
        <w:tabs>
          <w:tab w:val="num" w:pos="3600"/>
        </w:tabs>
        <w:ind w:left="3600" w:hanging="360"/>
      </w:pPr>
    </w:lvl>
    <w:lvl w:ilvl="5" w:tplc="D56C4012" w:tentative="1">
      <w:start w:val="1"/>
      <w:numFmt w:val="lowerRoman"/>
      <w:lvlText w:val="%6."/>
      <w:lvlJc w:val="right"/>
      <w:pPr>
        <w:tabs>
          <w:tab w:val="num" w:pos="4320"/>
        </w:tabs>
        <w:ind w:left="4320" w:hanging="180"/>
      </w:pPr>
    </w:lvl>
    <w:lvl w:ilvl="6" w:tplc="6AFE2B0C" w:tentative="1">
      <w:start w:val="1"/>
      <w:numFmt w:val="decimal"/>
      <w:lvlText w:val="%7."/>
      <w:lvlJc w:val="left"/>
      <w:pPr>
        <w:tabs>
          <w:tab w:val="num" w:pos="5040"/>
        </w:tabs>
        <w:ind w:left="5040" w:hanging="360"/>
      </w:pPr>
    </w:lvl>
    <w:lvl w:ilvl="7" w:tplc="B5C84C92" w:tentative="1">
      <w:start w:val="1"/>
      <w:numFmt w:val="lowerLetter"/>
      <w:lvlText w:val="%8."/>
      <w:lvlJc w:val="left"/>
      <w:pPr>
        <w:tabs>
          <w:tab w:val="num" w:pos="5760"/>
        </w:tabs>
        <w:ind w:left="5760" w:hanging="360"/>
      </w:pPr>
    </w:lvl>
    <w:lvl w:ilvl="8" w:tplc="E9B0BC68" w:tentative="1">
      <w:start w:val="1"/>
      <w:numFmt w:val="lowerRoman"/>
      <w:lvlText w:val="%9."/>
      <w:lvlJc w:val="right"/>
      <w:pPr>
        <w:tabs>
          <w:tab w:val="num" w:pos="6480"/>
        </w:tabs>
        <w:ind w:left="6480" w:hanging="180"/>
      </w:pPr>
    </w:lvl>
  </w:abstractNum>
  <w:abstractNum w:abstractNumId="11" w15:restartNumberingAfterBreak="0">
    <w:nsid w:val="67975471"/>
    <w:multiLevelType w:val="hybridMultilevel"/>
    <w:tmpl w:val="340050FC"/>
    <w:lvl w:ilvl="0" w:tplc="A4443896">
      <w:numFmt w:val="bullet"/>
      <w:lvlText w:val="-"/>
      <w:lvlJc w:val="left"/>
      <w:pPr>
        <w:ind w:left="780" w:hanging="4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46969133">
    <w:abstractNumId w:val="10"/>
  </w:num>
  <w:num w:numId="2" w16cid:durableId="511383165">
    <w:abstractNumId w:val="4"/>
  </w:num>
  <w:num w:numId="3" w16cid:durableId="1824151929">
    <w:abstractNumId w:val="8"/>
  </w:num>
  <w:num w:numId="4" w16cid:durableId="1102605714">
    <w:abstractNumId w:val="1"/>
  </w:num>
  <w:num w:numId="5" w16cid:durableId="2136556720">
    <w:abstractNumId w:val="2"/>
  </w:num>
  <w:num w:numId="6" w16cid:durableId="1476950127">
    <w:abstractNumId w:val="9"/>
  </w:num>
  <w:num w:numId="7" w16cid:durableId="53552287">
    <w:abstractNumId w:val="3"/>
  </w:num>
  <w:num w:numId="8" w16cid:durableId="1231581319">
    <w:abstractNumId w:val="6"/>
  </w:num>
  <w:num w:numId="9" w16cid:durableId="1217090002">
    <w:abstractNumId w:val="7"/>
  </w:num>
  <w:num w:numId="10" w16cid:durableId="532814139">
    <w:abstractNumId w:val="5"/>
  </w:num>
  <w:num w:numId="11" w16cid:durableId="1300039766">
    <w:abstractNumId w:val="0"/>
  </w:num>
  <w:num w:numId="12" w16cid:durableId="965280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38"/>
    <w:rsid w:val="000063FF"/>
    <w:rsid w:val="000206AE"/>
    <w:rsid w:val="00023A88"/>
    <w:rsid w:val="000636E1"/>
    <w:rsid w:val="0008352D"/>
    <w:rsid w:val="000A07CE"/>
    <w:rsid w:val="000A2C92"/>
    <w:rsid w:val="000A7238"/>
    <w:rsid w:val="000B0B21"/>
    <w:rsid w:val="000D08A9"/>
    <w:rsid w:val="000E2F2B"/>
    <w:rsid w:val="000E7875"/>
    <w:rsid w:val="000F3D38"/>
    <w:rsid w:val="00110CBD"/>
    <w:rsid w:val="00123D7D"/>
    <w:rsid w:val="001357B2"/>
    <w:rsid w:val="00151388"/>
    <w:rsid w:val="00151872"/>
    <w:rsid w:val="00160BFE"/>
    <w:rsid w:val="00160E5F"/>
    <w:rsid w:val="001A3BA5"/>
    <w:rsid w:val="001F3B21"/>
    <w:rsid w:val="001F7BC0"/>
    <w:rsid w:val="00202A77"/>
    <w:rsid w:val="00207DC8"/>
    <w:rsid w:val="002106F2"/>
    <w:rsid w:val="002112A3"/>
    <w:rsid w:val="002118D9"/>
    <w:rsid w:val="00232E47"/>
    <w:rsid w:val="0024583F"/>
    <w:rsid w:val="00261D80"/>
    <w:rsid w:val="00261D99"/>
    <w:rsid w:val="00262960"/>
    <w:rsid w:val="00271CE5"/>
    <w:rsid w:val="00282020"/>
    <w:rsid w:val="00282A2F"/>
    <w:rsid w:val="00285890"/>
    <w:rsid w:val="002934F1"/>
    <w:rsid w:val="00296D93"/>
    <w:rsid w:val="00297F27"/>
    <w:rsid w:val="002A4B44"/>
    <w:rsid w:val="002C7EEB"/>
    <w:rsid w:val="002E26D4"/>
    <w:rsid w:val="002F1662"/>
    <w:rsid w:val="00304726"/>
    <w:rsid w:val="00315D82"/>
    <w:rsid w:val="00320451"/>
    <w:rsid w:val="00346145"/>
    <w:rsid w:val="00352109"/>
    <w:rsid w:val="003636BF"/>
    <w:rsid w:val="00370AA7"/>
    <w:rsid w:val="00371034"/>
    <w:rsid w:val="0037479F"/>
    <w:rsid w:val="00377950"/>
    <w:rsid w:val="003828AD"/>
    <w:rsid w:val="003845B4"/>
    <w:rsid w:val="00387B1A"/>
    <w:rsid w:val="0039148F"/>
    <w:rsid w:val="003A5679"/>
    <w:rsid w:val="003B09A4"/>
    <w:rsid w:val="003B5CF4"/>
    <w:rsid w:val="003C28AA"/>
    <w:rsid w:val="003C3B1D"/>
    <w:rsid w:val="003D0306"/>
    <w:rsid w:val="003E1C74"/>
    <w:rsid w:val="003E7E9E"/>
    <w:rsid w:val="003F4966"/>
    <w:rsid w:val="00464335"/>
    <w:rsid w:val="00484245"/>
    <w:rsid w:val="00484A06"/>
    <w:rsid w:val="004A2490"/>
    <w:rsid w:val="004A4233"/>
    <w:rsid w:val="004A6A59"/>
    <w:rsid w:val="004B160E"/>
    <w:rsid w:val="004E3584"/>
    <w:rsid w:val="004F561D"/>
    <w:rsid w:val="0050296F"/>
    <w:rsid w:val="005149DF"/>
    <w:rsid w:val="005177DF"/>
    <w:rsid w:val="005254D1"/>
    <w:rsid w:val="00525C18"/>
    <w:rsid w:val="00526246"/>
    <w:rsid w:val="00532C59"/>
    <w:rsid w:val="0055206D"/>
    <w:rsid w:val="00567106"/>
    <w:rsid w:val="005709F2"/>
    <w:rsid w:val="005814CF"/>
    <w:rsid w:val="005916E5"/>
    <w:rsid w:val="0059194D"/>
    <w:rsid w:val="005B0438"/>
    <w:rsid w:val="005E1D3C"/>
    <w:rsid w:val="005E77FD"/>
    <w:rsid w:val="006268BE"/>
    <w:rsid w:val="00632253"/>
    <w:rsid w:val="00642714"/>
    <w:rsid w:val="00643C4E"/>
    <w:rsid w:val="006455CE"/>
    <w:rsid w:val="00694B33"/>
    <w:rsid w:val="006C4AE3"/>
    <w:rsid w:val="006D42D9"/>
    <w:rsid w:val="006D4AF1"/>
    <w:rsid w:val="006D55B4"/>
    <w:rsid w:val="006F142E"/>
    <w:rsid w:val="00726463"/>
    <w:rsid w:val="00733017"/>
    <w:rsid w:val="00751D38"/>
    <w:rsid w:val="00757C46"/>
    <w:rsid w:val="00765527"/>
    <w:rsid w:val="00775FED"/>
    <w:rsid w:val="00780335"/>
    <w:rsid w:val="00783310"/>
    <w:rsid w:val="00794B95"/>
    <w:rsid w:val="00794E63"/>
    <w:rsid w:val="007952B4"/>
    <w:rsid w:val="007A4A6D"/>
    <w:rsid w:val="007D05C8"/>
    <w:rsid w:val="007D1BCF"/>
    <w:rsid w:val="007D75CF"/>
    <w:rsid w:val="007E6DC5"/>
    <w:rsid w:val="008078F7"/>
    <w:rsid w:val="00822504"/>
    <w:rsid w:val="008446C0"/>
    <w:rsid w:val="0088043C"/>
    <w:rsid w:val="008906C9"/>
    <w:rsid w:val="008A5918"/>
    <w:rsid w:val="008B2E72"/>
    <w:rsid w:val="008B3C84"/>
    <w:rsid w:val="008C00F2"/>
    <w:rsid w:val="008C5738"/>
    <w:rsid w:val="008D04F0"/>
    <w:rsid w:val="008E1660"/>
    <w:rsid w:val="008E2D84"/>
    <w:rsid w:val="008F28E9"/>
    <w:rsid w:val="008F3500"/>
    <w:rsid w:val="009022B3"/>
    <w:rsid w:val="00924E3C"/>
    <w:rsid w:val="00925A8B"/>
    <w:rsid w:val="009432AC"/>
    <w:rsid w:val="009612BB"/>
    <w:rsid w:val="009B0295"/>
    <w:rsid w:val="009C5340"/>
    <w:rsid w:val="009E42F2"/>
    <w:rsid w:val="00A05DC7"/>
    <w:rsid w:val="00A125C5"/>
    <w:rsid w:val="00A12D5C"/>
    <w:rsid w:val="00A216AF"/>
    <w:rsid w:val="00A3267F"/>
    <w:rsid w:val="00A36906"/>
    <w:rsid w:val="00A40122"/>
    <w:rsid w:val="00A42FBC"/>
    <w:rsid w:val="00A45EAF"/>
    <w:rsid w:val="00A5039D"/>
    <w:rsid w:val="00A65EE7"/>
    <w:rsid w:val="00A70133"/>
    <w:rsid w:val="00A72510"/>
    <w:rsid w:val="00AA47FE"/>
    <w:rsid w:val="00AC05DE"/>
    <w:rsid w:val="00AC56FF"/>
    <w:rsid w:val="00AC5C16"/>
    <w:rsid w:val="00AD5A5B"/>
    <w:rsid w:val="00AE1792"/>
    <w:rsid w:val="00AE2D7F"/>
    <w:rsid w:val="00AE400A"/>
    <w:rsid w:val="00B011EA"/>
    <w:rsid w:val="00B038B1"/>
    <w:rsid w:val="00B17141"/>
    <w:rsid w:val="00B31575"/>
    <w:rsid w:val="00B62CE5"/>
    <w:rsid w:val="00B63BD4"/>
    <w:rsid w:val="00B653A6"/>
    <w:rsid w:val="00B677B6"/>
    <w:rsid w:val="00B7195E"/>
    <w:rsid w:val="00B8547D"/>
    <w:rsid w:val="00BB3A07"/>
    <w:rsid w:val="00BC2517"/>
    <w:rsid w:val="00BC61EF"/>
    <w:rsid w:val="00BE423F"/>
    <w:rsid w:val="00BF75C5"/>
    <w:rsid w:val="00C0383E"/>
    <w:rsid w:val="00C1397D"/>
    <w:rsid w:val="00C250D5"/>
    <w:rsid w:val="00C40DFC"/>
    <w:rsid w:val="00C47F8D"/>
    <w:rsid w:val="00C5171C"/>
    <w:rsid w:val="00C52DAE"/>
    <w:rsid w:val="00C57EED"/>
    <w:rsid w:val="00C81391"/>
    <w:rsid w:val="00C8292C"/>
    <w:rsid w:val="00C87411"/>
    <w:rsid w:val="00C92898"/>
    <w:rsid w:val="00C97222"/>
    <w:rsid w:val="00CA28CB"/>
    <w:rsid w:val="00CE7514"/>
    <w:rsid w:val="00D248DE"/>
    <w:rsid w:val="00D25427"/>
    <w:rsid w:val="00D31B74"/>
    <w:rsid w:val="00D3564D"/>
    <w:rsid w:val="00D61D34"/>
    <w:rsid w:val="00D8542D"/>
    <w:rsid w:val="00DB11E1"/>
    <w:rsid w:val="00DB4E6F"/>
    <w:rsid w:val="00DC62F6"/>
    <w:rsid w:val="00DC6A71"/>
    <w:rsid w:val="00DD6CC3"/>
    <w:rsid w:val="00DE5B46"/>
    <w:rsid w:val="00E0357D"/>
    <w:rsid w:val="00E20A8F"/>
    <w:rsid w:val="00E24EC2"/>
    <w:rsid w:val="00E447E8"/>
    <w:rsid w:val="00E51C0F"/>
    <w:rsid w:val="00E81BFF"/>
    <w:rsid w:val="00E8201C"/>
    <w:rsid w:val="00E94ECF"/>
    <w:rsid w:val="00EA0E3C"/>
    <w:rsid w:val="00EB1176"/>
    <w:rsid w:val="00ED00D1"/>
    <w:rsid w:val="00ED27F8"/>
    <w:rsid w:val="00ED6C51"/>
    <w:rsid w:val="00ED7E82"/>
    <w:rsid w:val="00EF3280"/>
    <w:rsid w:val="00EF4B31"/>
    <w:rsid w:val="00EF63CC"/>
    <w:rsid w:val="00F0025B"/>
    <w:rsid w:val="00F02E53"/>
    <w:rsid w:val="00F1126C"/>
    <w:rsid w:val="00F240BB"/>
    <w:rsid w:val="00F42CE8"/>
    <w:rsid w:val="00F46724"/>
    <w:rsid w:val="00F476FA"/>
    <w:rsid w:val="00F47F58"/>
    <w:rsid w:val="00F57FED"/>
    <w:rsid w:val="00F6644A"/>
    <w:rsid w:val="00F94746"/>
    <w:rsid w:val="00FD746A"/>
    <w:rsid w:val="00FE6E1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8EA868"/>
  <w15:docId w15:val="{5EE8D243-0E36-4C3E-B588-B3615C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9E42F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2F2"/>
    <w:rPr>
      <w:rFonts w:ascii="Tahoma" w:hAnsi="Tahoma" w:cs="Tahoma"/>
      <w:sz w:val="16"/>
      <w:szCs w:val="16"/>
      <w:lang w:val="en-US" w:eastAsia="en-US"/>
    </w:rPr>
  </w:style>
  <w:style w:type="paragraph" w:styleId="Golobesedilo">
    <w:name w:val="Plain Text"/>
    <w:basedOn w:val="Navaden"/>
    <w:link w:val="GolobesediloZnak"/>
    <w:rsid w:val="0055206D"/>
    <w:pPr>
      <w:spacing w:after="120" w:line="240" w:lineRule="auto"/>
      <w:ind w:right="-284"/>
      <w:jc w:val="both"/>
    </w:pPr>
    <w:rPr>
      <w:rFonts w:ascii="Courier New" w:hAnsi="Courier New" w:cs="Arial"/>
      <w:szCs w:val="22"/>
      <w:lang w:val="sl-SI" w:eastAsia="sl-SI"/>
    </w:rPr>
  </w:style>
  <w:style w:type="character" w:customStyle="1" w:styleId="GolobesediloZnak">
    <w:name w:val="Golo besedilo Znak"/>
    <w:basedOn w:val="Privzetapisavaodstavka"/>
    <w:link w:val="Golobesedilo"/>
    <w:rsid w:val="0055206D"/>
    <w:rPr>
      <w:rFonts w:ascii="Courier New" w:hAnsi="Courier New" w:cs="Arial"/>
      <w:szCs w:val="22"/>
    </w:rPr>
  </w:style>
  <w:style w:type="character" w:styleId="Krepko">
    <w:name w:val="Strong"/>
    <w:basedOn w:val="Privzetapisavaodstavka"/>
    <w:uiPriority w:val="22"/>
    <w:qFormat/>
    <w:rsid w:val="0055206D"/>
    <w:rPr>
      <w:b/>
      <w:bCs/>
    </w:rPr>
  </w:style>
  <w:style w:type="paragraph" w:styleId="Odstavekseznama">
    <w:name w:val="List Paragraph"/>
    <w:basedOn w:val="Navaden"/>
    <w:link w:val="OdstavekseznamaZnak"/>
    <w:uiPriority w:val="34"/>
    <w:qFormat/>
    <w:rsid w:val="00EF4B31"/>
    <w:pPr>
      <w:ind w:left="720"/>
      <w:contextualSpacing/>
    </w:pPr>
  </w:style>
  <w:style w:type="paragraph" w:customStyle="1" w:styleId="Slog1">
    <w:name w:val="Slog1"/>
    <w:basedOn w:val="Odstavekseznama"/>
    <w:link w:val="Slog1Znak"/>
    <w:qFormat/>
    <w:rsid w:val="00EF4B31"/>
    <w:pPr>
      <w:numPr>
        <w:numId w:val="7"/>
      </w:numPr>
      <w:spacing w:before="120" w:after="120"/>
      <w:jc w:val="both"/>
    </w:pPr>
    <w:rPr>
      <w:rFonts w:eastAsia="Aptos" w:cs="Arial"/>
      <w:kern w:val="2"/>
      <w:szCs w:val="20"/>
      <w:lang w:val="sl-SI"/>
      <w14:ligatures w14:val="standardContextual"/>
    </w:rPr>
  </w:style>
  <w:style w:type="character" w:customStyle="1" w:styleId="OdstavekseznamaZnak">
    <w:name w:val="Odstavek seznama Znak"/>
    <w:basedOn w:val="Privzetapisavaodstavka"/>
    <w:link w:val="Odstavekseznama"/>
    <w:uiPriority w:val="34"/>
    <w:rsid w:val="00EF4B31"/>
    <w:rPr>
      <w:rFonts w:ascii="Arial" w:hAnsi="Arial"/>
      <w:szCs w:val="24"/>
      <w:lang w:val="en-US" w:eastAsia="en-US"/>
    </w:rPr>
  </w:style>
  <w:style w:type="character" w:customStyle="1" w:styleId="Slog1Znak">
    <w:name w:val="Slog1 Znak"/>
    <w:basedOn w:val="OdstavekseznamaZnak"/>
    <w:link w:val="Slog1"/>
    <w:rsid w:val="00EF4B31"/>
    <w:rPr>
      <w:rFonts w:ascii="Arial" w:eastAsia="Aptos" w:hAnsi="Arial" w:cs="Arial"/>
      <w:kern w:val="2"/>
      <w:szCs w:val="24"/>
      <w:lang w:val="en-US" w:eastAsia="en-US"/>
      <w14:ligatures w14:val="standardContextual"/>
    </w:rPr>
  </w:style>
  <w:style w:type="character" w:styleId="Nerazreenaomemba">
    <w:name w:val="Unresolved Mention"/>
    <w:basedOn w:val="Privzetapisavaodstavka"/>
    <w:uiPriority w:val="99"/>
    <w:semiHidden/>
    <w:unhideWhenUsed/>
    <w:rsid w:val="00EF4B31"/>
    <w:rPr>
      <w:color w:val="605E5C"/>
      <w:shd w:val="clear" w:color="auto" w:fill="E1DFDD"/>
    </w:rPr>
  </w:style>
  <w:style w:type="paragraph" w:styleId="Navadensplet">
    <w:name w:val="Normal (Web)"/>
    <w:basedOn w:val="Navaden"/>
    <w:uiPriority w:val="99"/>
    <w:semiHidden/>
    <w:unhideWhenUsed/>
    <w:rsid w:val="00F476FA"/>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1685">
      <w:bodyDiv w:val="1"/>
      <w:marLeft w:val="0"/>
      <w:marRight w:val="0"/>
      <w:marTop w:val="0"/>
      <w:marBottom w:val="0"/>
      <w:divBdr>
        <w:top w:val="none" w:sz="0" w:space="0" w:color="auto"/>
        <w:left w:val="none" w:sz="0" w:space="0" w:color="auto"/>
        <w:bottom w:val="none" w:sz="0" w:space="0" w:color="auto"/>
        <w:right w:val="none" w:sz="0" w:space="0" w:color="auto"/>
      </w:divBdr>
      <w:divsChild>
        <w:div w:id="1185826868">
          <w:marLeft w:val="0"/>
          <w:marRight w:val="0"/>
          <w:marTop w:val="0"/>
          <w:marBottom w:val="0"/>
          <w:divBdr>
            <w:top w:val="none" w:sz="0" w:space="0" w:color="auto"/>
            <w:left w:val="none" w:sz="0" w:space="0" w:color="auto"/>
            <w:bottom w:val="none" w:sz="0" w:space="0" w:color="auto"/>
            <w:right w:val="none" w:sz="0" w:space="0" w:color="auto"/>
          </w:divBdr>
        </w:div>
      </w:divsChild>
    </w:div>
    <w:div w:id="266811450">
      <w:bodyDiv w:val="1"/>
      <w:marLeft w:val="0"/>
      <w:marRight w:val="0"/>
      <w:marTop w:val="0"/>
      <w:marBottom w:val="0"/>
      <w:divBdr>
        <w:top w:val="none" w:sz="0" w:space="0" w:color="auto"/>
        <w:left w:val="none" w:sz="0" w:space="0" w:color="auto"/>
        <w:bottom w:val="none" w:sz="0" w:space="0" w:color="auto"/>
        <w:right w:val="none" w:sz="0" w:space="0" w:color="auto"/>
      </w:divBdr>
      <w:divsChild>
        <w:div w:id="1963532527">
          <w:marLeft w:val="0"/>
          <w:marRight w:val="0"/>
          <w:marTop w:val="0"/>
          <w:marBottom w:val="0"/>
          <w:divBdr>
            <w:top w:val="none" w:sz="0" w:space="0" w:color="auto"/>
            <w:left w:val="none" w:sz="0" w:space="0" w:color="auto"/>
            <w:bottom w:val="none" w:sz="0" w:space="0" w:color="auto"/>
            <w:right w:val="none" w:sz="0" w:space="0" w:color="auto"/>
          </w:divBdr>
        </w:div>
      </w:divsChild>
    </w:div>
    <w:div w:id="332876265">
      <w:bodyDiv w:val="1"/>
      <w:marLeft w:val="0"/>
      <w:marRight w:val="0"/>
      <w:marTop w:val="0"/>
      <w:marBottom w:val="0"/>
      <w:divBdr>
        <w:top w:val="none" w:sz="0" w:space="0" w:color="auto"/>
        <w:left w:val="none" w:sz="0" w:space="0" w:color="auto"/>
        <w:bottom w:val="none" w:sz="0" w:space="0" w:color="auto"/>
        <w:right w:val="none" w:sz="0" w:space="0" w:color="auto"/>
      </w:divBdr>
      <w:divsChild>
        <w:div w:id="1428423691">
          <w:marLeft w:val="0"/>
          <w:marRight w:val="0"/>
          <w:marTop w:val="0"/>
          <w:marBottom w:val="0"/>
          <w:divBdr>
            <w:top w:val="none" w:sz="0" w:space="0" w:color="auto"/>
            <w:left w:val="none" w:sz="0" w:space="0" w:color="auto"/>
            <w:bottom w:val="none" w:sz="0" w:space="0" w:color="auto"/>
            <w:right w:val="none" w:sz="0" w:space="0" w:color="auto"/>
          </w:divBdr>
        </w:div>
      </w:divsChild>
    </w:div>
    <w:div w:id="671493531">
      <w:bodyDiv w:val="1"/>
      <w:marLeft w:val="0"/>
      <w:marRight w:val="0"/>
      <w:marTop w:val="0"/>
      <w:marBottom w:val="0"/>
      <w:divBdr>
        <w:top w:val="none" w:sz="0" w:space="0" w:color="auto"/>
        <w:left w:val="none" w:sz="0" w:space="0" w:color="auto"/>
        <w:bottom w:val="none" w:sz="0" w:space="0" w:color="auto"/>
        <w:right w:val="none" w:sz="0" w:space="0" w:color="auto"/>
      </w:divBdr>
      <w:divsChild>
        <w:div w:id="782261889">
          <w:marLeft w:val="0"/>
          <w:marRight w:val="0"/>
          <w:marTop w:val="0"/>
          <w:marBottom w:val="0"/>
          <w:divBdr>
            <w:top w:val="none" w:sz="0" w:space="0" w:color="auto"/>
            <w:left w:val="none" w:sz="0" w:space="0" w:color="auto"/>
            <w:bottom w:val="none" w:sz="0" w:space="0" w:color="auto"/>
            <w:right w:val="none" w:sz="0" w:space="0" w:color="auto"/>
          </w:divBdr>
        </w:div>
      </w:divsChild>
    </w:div>
    <w:div w:id="1043484141">
      <w:bodyDiv w:val="1"/>
      <w:marLeft w:val="0"/>
      <w:marRight w:val="0"/>
      <w:marTop w:val="0"/>
      <w:marBottom w:val="0"/>
      <w:divBdr>
        <w:top w:val="none" w:sz="0" w:space="0" w:color="auto"/>
        <w:left w:val="none" w:sz="0" w:space="0" w:color="auto"/>
        <w:bottom w:val="none" w:sz="0" w:space="0" w:color="auto"/>
        <w:right w:val="none" w:sz="0" w:space="0" w:color="auto"/>
      </w:divBdr>
      <w:divsChild>
        <w:div w:id="1336609130">
          <w:marLeft w:val="0"/>
          <w:marRight w:val="0"/>
          <w:marTop w:val="0"/>
          <w:marBottom w:val="0"/>
          <w:divBdr>
            <w:top w:val="none" w:sz="0" w:space="0" w:color="auto"/>
            <w:left w:val="none" w:sz="0" w:space="0" w:color="auto"/>
            <w:bottom w:val="none" w:sz="0" w:space="0" w:color="auto"/>
            <w:right w:val="none" w:sz="0" w:space="0" w:color="auto"/>
          </w:divBdr>
        </w:div>
      </w:divsChild>
    </w:div>
    <w:div w:id="1267543365">
      <w:bodyDiv w:val="1"/>
      <w:marLeft w:val="0"/>
      <w:marRight w:val="0"/>
      <w:marTop w:val="0"/>
      <w:marBottom w:val="0"/>
      <w:divBdr>
        <w:top w:val="none" w:sz="0" w:space="0" w:color="auto"/>
        <w:left w:val="none" w:sz="0" w:space="0" w:color="auto"/>
        <w:bottom w:val="none" w:sz="0" w:space="0" w:color="auto"/>
        <w:right w:val="none" w:sz="0" w:space="0" w:color="auto"/>
      </w:divBdr>
      <w:divsChild>
        <w:div w:id="752817546">
          <w:marLeft w:val="0"/>
          <w:marRight w:val="0"/>
          <w:marTop w:val="0"/>
          <w:marBottom w:val="0"/>
          <w:divBdr>
            <w:top w:val="none" w:sz="0" w:space="0" w:color="auto"/>
            <w:left w:val="none" w:sz="0" w:space="0" w:color="auto"/>
            <w:bottom w:val="none" w:sz="0" w:space="0" w:color="auto"/>
            <w:right w:val="none" w:sz="0" w:space="0" w:color="auto"/>
          </w:divBdr>
        </w:div>
      </w:divsChild>
    </w:div>
    <w:div w:id="1430471032">
      <w:bodyDiv w:val="1"/>
      <w:marLeft w:val="0"/>
      <w:marRight w:val="0"/>
      <w:marTop w:val="0"/>
      <w:marBottom w:val="0"/>
      <w:divBdr>
        <w:top w:val="none" w:sz="0" w:space="0" w:color="auto"/>
        <w:left w:val="none" w:sz="0" w:space="0" w:color="auto"/>
        <w:bottom w:val="none" w:sz="0" w:space="0" w:color="auto"/>
        <w:right w:val="none" w:sz="0" w:space="0" w:color="auto"/>
      </w:divBdr>
      <w:divsChild>
        <w:div w:id="2023819600">
          <w:marLeft w:val="0"/>
          <w:marRight w:val="0"/>
          <w:marTop w:val="0"/>
          <w:marBottom w:val="0"/>
          <w:divBdr>
            <w:top w:val="none" w:sz="0" w:space="0" w:color="auto"/>
            <w:left w:val="none" w:sz="0" w:space="0" w:color="auto"/>
            <w:bottom w:val="none" w:sz="0" w:space="0" w:color="auto"/>
            <w:right w:val="none" w:sz="0" w:space="0" w:color="auto"/>
          </w:divBdr>
        </w:div>
      </w:divsChild>
    </w:div>
    <w:div w:id="2111703513">
      <w:bodyDiv w:val="1"/>
      <w:marLeft w:val="0"/>
      <w:marRight w:val="0"/>
      <w:marTop w:val="0"/>
      <w:marBottom w:val="0"/>
      <w:divBdr>
        <w:top w:val="none" w:sz="0" w:space="0" w:color="auto"/>
        <w:left w:val="none" w:sz="0" w:space="0" w:color="auto"/>
        <w:bottom w:val="none" w:sz="0" w:space="0" w:color="auto"/>
        <w:right w:val="none" w:sz="0" w:space="0" w:color="auto"/>
      </w:divBdr>
      <w:divsChild>
        <w:div w:id="23232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s-and-fisheries.ec.europa.eu/publications/templates-catch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gov.si/carina/prepovedi_in_omejitve/ribiski_proizvodi/"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Odd.%20za%20financiranje\FURS\Informacijska%20tehnologija\Dokumentni%20sistem\Predloge%20dokumentov\GFU%20D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5129-4493-4762-B20F-94013FFA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 DT1</Template>
  <TotalTime>260</TotalTime>
  <Pages>4</Pages>
  <Words>1616</Words>
  <Characters>9212</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 </vt:lpstr>
    </vt:vector>
  </TitlesOfParts>
  <Company>Davčna Uprava RS</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Jelka Strgar</dc:creator>
  <cp:lastModifiedBy>Jelka Strgar</cp:lastModifiedBy>
  <cp:revision>6</cp:revision>
  <cp:lastPrinted>2010-07-05T10:38:00Z</cp:lastPrinted>
  <dcterms:created xsi:type="dcterms:W3CDTF">2026-01-16T10:07:00Z</dcterms:created>
  <dcterms:modified xsi:type="dcterms:W3CDTF">2026-02-06T09:30:00Z</dcterms:modified>
</cp:coreProperties>
</file>